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5C11A" w14:textId="0C016385" w:rsidR="00333517" w:rsidRDefault="00333517" w:rsidP="00F439F8">
      <w:pPr>
        <w:jc w:val="right"/>
        <w:rPr>
          <w:rFonts w:ascii="Arial Narrow" w:hAnsi="Arial Narrow" w:cs="Arial"/>
        </w:rPr>
      </w:pPr>
      <w:bookmarkStart w:id="0" w:name="_GoBack"/>
      <w:bookmarkEnd w:id="0"/>
      <w:permStart w:id="1044724968" w:edGrp="everyone"/>
      <w:r>
        <w:rPr>
          <w:rFonts w:ascii="Arial Narrow" w:hAnsi="Arial Narrow" w:cs="Arial"/>
        </w:rPr>
        <w:t>TRD-0000000</w:t>
      </w:r>
      <w:r w:rsidR="004E1CF7" w:rsidRPr="000D32A3">
        <w:rPr>
          <w:rFonts w:ascii="Arial Narrow" w:hAnsi="Arial Narrow" w:cs="Arial"/>
          <w:color w:val="FF0000"/>
        </w:rPr>
        <w:t>xxxxxx</w:t>
      </w:r>
    </w:p>
    <w:p w14:paraId="728E06AF" w14:textId="28603E47" w:rsidR="00333517" w:rsidRDefault="00333517" w:rsidP="00460191">
      <w:pPr>
        <w:rPr>
          <w:rFonts w:ascii="Arial Narrow" w:hAnsi="Arial Narrow"/>
        </w:rPr>
      </w:pPr>
    </w:p>
    <w:p w14:paraId="0F41F52D" w14:textId="1FABEED1" w:rsidR="00333517" w:rsidRDefault="00333517" w:rsidP="00333517">
      <w:pPr>
        <w:jc w:val="center"/>
        <w:rPr>
          <w:rFonts w:ascii="Arial Narrow" w:hAnsi="Arial Narrow"/>
          <w:b/>
          <w:bCs/>
        </w:rPr>
      </w:pPr>
      <w:r>
        <w:rPr>
          <w:rFonts w:ascii="Arial Narrow" w:hAnsi="Arial Narrow"/>
          <w:b/>
          <w:bCs/>
        </w:rPr>
        <w:t>DECRETO</w:t>
      </w:r>
      <w:r w:rsidR="004E1CF7">
        <w:rPr>
          <w:rFonts w:ascii="Arial Narrow" w:hAnsi="Arial Narrow"/>
          <w:b/>
          <w:bCs/>
        </w:rPr>
        <w:t xml:space="preserve"> N° </w:t>
      </w:r>
      <w:r w:rsidR="004E1CF7" w:rsidRPr="000D32A3">
        <w:rPr>
          <w:rFonts w:ascii="Arial Narrow" w:hAnsi="Arial Narrow"/>
          <w:b/>
          <w:bCs/>
          <w:color w:val="FF0000"/>
        </w:rPr>
        <w:t>XXX</w:t>
      </w:r>
    </w:p>
    <w:p w14:paraId="2C53A349" w14:textId="6A278B71" w:rsidR="004E1CF7" w:rsidRPr="004E1CF7" w:rsidRDefault="007E169C" w:rsidP="00333517">
      <w:pPr>
        <w:jc w:val="center"/>
        <w:rPr>
          <w:rFonts w:ascii="Arial Narrow" w:hAnsi="Arial Narrow"/>
          <w:bCs/>
        </w:rPr>
      </w:pPr>
      <w:r w:rsidRPr="007E169C">
        <w:rPr>
          <w:rFonts w:ascii="Arial Narrow" w:hAnsi="Arial Narrow"/>
          <w:bCs/>
          <w:color w:val="FF0000"/>
        </w:rPr>
        <w:t>X</w:t>
      </w:r>
      <w:r w:rsidR="004E1CF7" w:rsidRPr="004E1CF7">
        <w:rPr>
          <w:rFonts w:ascii="Arial Narrow" w:hAnsi="Arial Narrow"/>
          <w:bCs/>
        </w:rPr>
        <w:t xml:space="preserve"> de Febrero del 2025</w:t>
      </w:r>
    </w:p>
    <w:p w14:paraId="664B31E9" w14:textId="6DC6B034" w:rsidR="00333517" w:rsidRDefault="00333517" w:rsidP="00460191">
      <w:pPr>
        <w:rPr>
          <w:rFonts w:ascii="Arial Narrow" w:hAnsi="Arial Narrow"/>
        </w:rPr>
      </w:pPr>
    </w:p>
    <w:p w14:paraId="63732A2B" w14:textId="42D4C3F6" w:rsidR="004E1CF7" w:rsidRDefault="004E1CF7" w:rsidP="004E1CF7">
      <w:pPr>
        <w:jc w:val="center"/>
        <w:rPr>
          <w:rFonts w:ascii="Arial Narrow" w:hAnsi="Arial Narrow"/>
          <w:b/>
        </w:rPr>
      </w:pPr>
      <w:r w:rsidRPr="004E1CF7">
        <w:rPr>
          <w:rFonts w:ascii="Arial Narrow" w:hAnsi="Arial Narrow"/>
          <w:b/>
        </w:rPr>
        <w:t xml:space="preserve">“POR MEDIO DEL CUAL SE MODIFICA </w:t>
      </w:r>
      <w:r w:rsidR="00641CD8">
        <w:rPr>
          <w:rFonts w:ascii="Arial Narrow" w:hAnsi="Arial Narrow"/>
          <w:b/>
        </w:rPr>
        <w:t xml:space="preserve">PARCIALMENTE </w:t>
      </w:r>
      <w:r w:rsidRPr="004E1CF7">
        <w:rPr>
          <w:rFonts w:ascii="Arial Narrow" w:hAnsi="Arial Narrow"/>
          <w:b/>
        </w:rPr>
        <w:t>EL DECRETO N° 303 DE DICIEMBRE 30 DE 2021</w:t>
      </w:r>
      <w:r>
        <w:rPr>
          <w:rFonts w:ascii="Arial Narrow" w:hAnsi="Arial Narrow"/>
          <w:b/>
        </w:rPr>
        <w:t xml:space="preserve"> QUE REGLAMENTA LOS APROVECHAMIENTOS Y NORMAS VOLUMETRICAS PARA LOS USOS ESTABLECIDOS EN EL ARTÍCULO 92 DEL PLAN DE ORDENAMIENTO TERRITORIAL VIGENTE”</w:t>
      </w:r>
    </w:p>
    <w:p w14:paraId="5B6948EF" w14:textId="77777777" w:rsidR="004E1CF7" w:rsidRDefault="004E1CF7" w:rsidP="004E1CF7">
      <w:pPr>
        <w:jc w:val="center"/>
        <w:rPr>
          <w:rFonts w:ascii="Arial Narrow" w:hAnsi="Arial Narrow"/>
          <w:b/>
        </w:rPr>
      </w:pPr>
    </w:p>
    <w:p w14:paraId="711FEEAF" w14:textId="0EBD2262" w:rsidR="004E1CF7" w:rsidRDefault="004E1CF7" w:rsidP="004E1CF7">
      <w:pPr>
        <w:jc w:val="both"/>
        <w:rPr>
          <w:rFonts w:ascii="Arial Narrow" w:hAnsi="Arial Narrow"/>
        </w:rPr>
      </w:pPr>
      <w:r>
        <w:rPr>
          <w:rFonts w:ascii="Arial Narrow" w:hAnsi="Arial Narrow"/>
        </w:rPr>
        <w:t>El Alcalde Municipal de Palmira</w:t>
      </w:r>
      <w:r>
        <w:rPr>
          <w:rFonts w:ascii="Arial Narrow" w:hAnsi="Arial Narrow" w:cs="Arial Narrow"/>
        </w:rPr>
        <w:t xml:space="preserve"> </w:t>
      </w:r>
      <w:r w:rsidRPr="004E1CF7">
        <w:rPr>
          <w:rFonts w:ascii="Arial Narrow" w:hAnsi="Arial Narrow"/>
        </w:rPr>
        <w:t>Valle del Cauca, en uso de sus facultades Constitucionales y Legales, en especial las conferidas en el artículo 315 de la Constitución Política, el artículo 91 de la Ley 136 de 1994 modificado por el artículo 29 de la Ley 1551 de 2012, la Ley 388 de 1997, Decreto Nacional 1077 de 2015, el artículo 92 del Plan de Ordenamiento Territorial compilado en el Decreto municipal 192 de 2014, y</w:t>
      </w:r>
    </w:p>
    <w:p w14:paraId="08DCB211" w14:textId="77777777" w:rsidR="004E1CF7" w:rsidRDefault="004E1CF7" w:rsidP="004E1CF7">
      <w:pPr>
        <w:jc w:val="both"/>
        <w:rPr>
          <w:rFonts w:ascii="Arial Narrow" w:hAnsi="Arial Narrow"/>
        </w:rPr>
      </w:pPr>
    </w:p>
    <w:p w14:paraId="15A7ECF4" w14:textId="6639F7A6" w:rsidR="004E1CF7" w:rsidRDefault="004E1CF7" w:rsidP="004E1CF7">
      <w:pPr>
        <w:jc w:val="center"/>
        <w:rPr>
          <w:rFonts w:ascii="Arial Narrow" w:hAnsi="Arial Narrow"/>
          <w:b/>
        </w:rPr>
      </w:pPr>
      <w:r w:rsidRPr="004E1CF7">
        <w:rPr>
          <w:rFonts w:ascii="Arial Narrow" w:hAnsi="Arial Narrow"/>
          <w:b/>
        </w:rPr>
        <w:t>CONSIDERANDO</w:t>
      </w:r>
    </w:p>
    <w:p w14:paraId="58DE7F2F" w14:textId="77777777" w:rsidR="004E1CF7" w:rsidRDefault="004E1CF7" w:rsidP="004E1CF7">
      <w:pPr>
        <w:jc w:val="center"/>
        <w:rPr>
          <w:rFonts w:ascii="Arial Narrow" w:hAnsi="Arial Narrow"/>
          <w:b/>
        </w:rPr>
      </w:pPr>
    </w:p>
    <w:p w14:paraId="7A629EB1" w14:textId="0531C85A" w:rsidR="00333517" w:rsidRDefault="006E681D" w:rsidP="006E681D">
      <w:pPr>
        <w:jc w:val="both"/>
        <w:rPr>
          <w:rFonts w:ascii="Arial Narrow" w:hAnsi="Arial Narrow"/>
          <w:i/>
        </w:rPr>
      </w:pPr>
      <w:r w:rsidRPr="006E681D">
        <w:rPr>
          <w:rFonts w:ascii="Arial Narrow" w:hAnsi="Arial Narrow"/>
        </w:rPr>
        <w:t xml:space="preserve">Que </w:t>
      </w:r>
      <w:r>
        <w:rPr>
          <w:rFonts w:ascii="Arial Narrow" w:hAnsi="Arial Narrow"/>
        </w:rPr>
        <w:t>la Constitución Política en el numeral 1 de su artículo 315 señala que, el Alcalde Municipal tiene dentro de sus atribuciones la de “</w:t>
      </w:r>
      <w:r w:rsidRPr="006E681D">
        <w:rPr>
          <w:rFonts w:ascii="Arial Narrow" w:hAnsi="Arial Narrow"/>
          <w:i/>
        </w:rPr>
        <w:t>1. Cumplir</w:t>
      </w:r>
      <w:r>
        <w:rPr>
          <w:rFonts w:ascii="Arial Narrow" w:hAnsi="Arial Narrow"/>
          <w:i/>
        </w:rPr>
        <w:t xml:space="preserve"> y hacer cumplir la Constitución, la ley, los decretos del gobierno, las ordenanzas, y los acuerdos del Concejo”.</w:t>
      </w:r>
    </w:p>
    <w:p w14:paraId="08141337" w14:textId="77777777" w:rsidR="006E681D" w:rsidRDefault="006E681D" w:rsidP="006E681D">
      <w:pPr>
        <w:jc w:val="both"/>
        <w:rPr>
          <w:rFonts w:ascii="Arial Narrow" w:hAnsi="Arial Narrow"/>
          <w:i/>
        </w:rPr>
      </w:pPr>
    </w:p>
    <w:p w14:paraId="61DFCDFB" w14:textId="4937F005" w:rsidR="006E681D" w:rsidRDefault="006E681D" w:rsidP="006E681D">
      <w:pPr>
        <w:jc w:val="both"/>
        <w:rPr>
          <w:rFonts w:ascii="Arial Narrow" w:hAnsi="Arial Narrow"/>
          <w:i/>
        </w:rPr>
      </w:pPr>
      <w:r>
        <w:rPr>
          <w:rFonts w:ascii="Arial Narrow" w:hAnsi="Arial Narrow"/>
        </w:rPr>
        <w:t xml:space="preserve">Que la Ley 136 de 1994 </w:t>
      </w:r>
      <w:r w:rsidRPr="006E681D">
        <w:rPr>
          <w:rFonts w:ascii="Arial Narrow" w:hAnsi="Arial Narrow"/>
          <w:i/>
        </w:rPr>
        <w:t>“Por</w:t>
      </w:r>
      <w:r>
        <w:rPr>
          <w:rFonts w:ascii="Arial Narrow" w:hAnsi="Arial Narrow"/>
          <w:i/>
        </w:rPr>
        <w:t xml:space="preserve"> la cual se dictan normas tendientes a modernizar la organización y el funcionamiento de los municipios”, </w:t>
      </w:r>
      <w:r>
        <w:rPr>
          <w:rFonts w:ascii="Arial Narrow" w:hAnsi="Arial Narrow"/>
        </w:rPr>
        <w:t>dispone en el literal a), numeral 6 de su artículo 91, modificado por el artículo 29 de la Ley 1551 de 2012, que los alcaldes están facultados para “</w:t>
      </w:r>
      <w:r w:rsidRPr="006E681D">
        <w:rPr>
          <w:rFonts w:ascii="Arial Narrow" w:hAnsi="Arial Narrow"/>
          <w:i/>
        </w:rPr>
        <w:t>Re</w:t>
      </w:r>
      <w:r>
        <w:rPr>
          <w:rFonts w:ascii="Arial Narrow" w:hAnsi="Arial Narrow"/>
          <w:i/>
        </w:rPr>
        <w:t xml:space="preserve">glamentar los Acuerdos Municipales”. </w:t>
      </w:r>
      <w:r w:rsidR="00AA12BF">
        <w:rPr>
          <w:rFonts w:ascii="Arial Narrow" w:hAnsi="Arial Narrow"/>
        </w:rPr>
        <w:t xml:space="preserve">Así como también el artículo 93 </w:t>
      </w:r>
      <w:r w:rsidR="000D32A3">
        <w:rPr>
          <w:rFonts w:ascii="Arial Narrow" w:hAnsi="Arial Narrow"/>
        </w:rPr>
        <w:t>ibídem</w:t>
      </w:r>
      <w:r w:rsidR="00AA12BF">
        <w:rPr>
          <w:rFonts w:ascii="Arial Narrow" w:hAnsi="Arial Narrow"/>
        </w:rPr>
        <w:t xml:space="preserve"> señala que “</w:t>
      </w:r>
      <w:r w:rsidR="00AA12BF" w:rsidRPr="00AA12BF">
        <w:rPr>
          <w:rFonts w:ascii="Arial Narrow" w:hAnsi="Arial Narrow"/>
          <w:i/>
        </w:rPr>
        <w:t xml:space="preserve">El </w:t>
      </w:r>
      <w:r w:rsidR="00050C4A">
        <w:rPr>
          <w:rFonts w:ascii="Arial Narrow" w:hAnsi="Arial Narrow"/>
          <w:i/>
        </w:rPr>
        <w:t xml:space="preserve">alcalde para la debida ejecución de los acuerdos y para </w:t>
      </w:r>
      <w:r w:rsidR="00B442D3">
        <w:rPr>
          <w:rFonts w:ascii="Arial Narrow" w:hAnsi="Arial Narrow"/>
          <w:i/>
        </w:rPr>
        <w:t>las funciones que le son propias, dictará decretos, resoluciones y las órdenes necesarias.”</w:t>
      </w:r>
    </w:p>
    <w:p w14:paraId="68EB1796" w14:textId="77777777" w:rsidR="00B442D3" w:rsidRDefault="00B442D3" w:rsidP="006E681D">
      <w:pPr>
        <w:jc w:val="both"/>
        <w:rPr>
          <w:rFonts w:ascii="Arial Narrow" w:hAnsi="Arial Narrow"/>
          <w:i/>
        </w:rPr>
      </w:pPr>
    </w:p>
    <w:p w14:paraId="1DF4CEF5" w14:textId="0EC5B212" w:rsidR="00B442D3" w:rsidRPr="00296BD3" w:rsidRDefault="00296BD3" w:rsidP="006E681D">
      <w:pPr>
        <w:jc w:val="both"/>
        <w:rPr>
          <w:rFonts w:ascii="Arial Narrow" w:hAnsi="Arial Narrow"/>
        </w:rPr>
      </w:pPr>
      <w:r>
        <w:rPr>
          <w:rFonts w:ascii="Arial Narrow" w:hAnsi="Arial Narrow"/>
        </w:rPr>
        <w:t>Que la Ley 388 de 1997 en su artículo 9 definió</w:t>
      </w:r>
      <w:r w:rsidR="00023F71">
        <w:rPr>
          <w:rFonts w:ascii="Arial Narrow" w:hAnsi="Arial Narrow"/>
        </w:rPr>
        <w:t xml:space="preserve"> el Plan de Ordenamiento Territorial, en adelante POT, como el instrumento básico para desarrollar el proceso de ordenamiento del territorio municipal, el cual establece “el conjunto de objetivos. Directrices, políticas, estrategias, metas, programas, actuaciones y normas adoptadas para orientar y administrar el desarrollo físico del territorio y la utilización del suelo”</w:t>
      </w:r>
    </w:p>
    <w:p w14:paraId="1E23663C" w14:textId="4F15C617" w:rsidR="00333517" w:rsidRDefault="00333517" w:rsidP="006E681D">
      <w:pPr>
        <w:jc w:val="both"/>
        <w:rPr>
          <w:rFonts w:ascii="Arial Narrow" w:hAnsi="Arial Narrow"/>
        </w:rPr>
      </w:pPr>
    </w:p>
    <w:p w14:paraId="115D4656" w14:textId="4979DDCD" w:rsidR="00333517" w:rsidRDefault="007939AC" w:rsidP="006E681D">
      <w:pPr>
        <w:jc w:val="both"/>
        <w:rPr>
          <w:rFonts w:ascii="Arial Narrow" w:hAnsi="Arial Narrow"/>
        </w:rPr>
      </w:pPr>
      <w:r w:rsidRPr="007939AC">
        <w:rPr>
          <w:rFonts w:ascii="Arial Narrow" w:hAnsi="Arial Narrow"/>
        </w:rPr>
        <w:t>Que mediante el Acuerdo Municipal N°. 109 de 2001 se adoptó el Plan de Ordenamiento Territorial del municipio de Palmira (POT), el cual fue modificado por los Acuerdos Nos. 058 de 2003, 080 de 2011 y 028 de 2014, compilados en el Decreto Municipal N°. 192 de 2014, cuyo componente rural se encuentra reglamentado en el título II y en el subtítulo 3 identificó los usos del suelo rural y la zonificación por áreas de actividad en suelo rural.</w:t>
      </w:r>
    </w:p>
    <w:p w14:paraId="79DB2A6A" w14:textId="67F72F6C" w:rsidR="00333517" w:rsidRDefault="00333517" w:rsidP="006E681D">
      <w:pPr>
        <w:jc w:val="both"/>
        <w:rPr>
          <w:rFonts w:ascii="Arial Narrow" w:hAnsi="Arial Narrow"/>
        </w:rPr>
      </w:pPr>
    </w:p>
    <w:p w14:paraId="10E33973" w14:textId="5C796A00" w:rsidR="00333517" w:rsidRDefault="007748A4" w:rsidP="006E681D">
      <w:pPr>
        <w:jc w:val="both"/>
        <w:rPr>
          <w:rFonts w:ascii="Arial Narrow" w:hAnsi="Arial Narrow"/>
        </w:rPr>
      </w:pPr>
      <w:r w:rsidRPr="0034025E">
        <w:rPr>
          <w:rFonts w:ascii="Arial Narrow" w:hAnsi="Arial Narrow"/>
        </w:rPr>
        <w:t xml:space="preserve">Que, para llenar los vacíos de normas volumétricas aplicables a los otros usos en suelo rural, el POT confirió al alcalde la facultad de reglamentar estos aspectos. Para el efecto el artículo 92 del Acuerdo 109 de 2001, compilado en el artículo 92 del Decreto Municipal N°. 192 de 2014, dispone que </w:t>
      </w:r>
      <w:r w:rsidR="0034025E">
        <w:rPr>
          <w:rFonts w:ascii="Arial Narrow" w:hAnsi="Arial Narrow"/>
        </w:rPr>
        <w:t>“</w:t>
      </w:r>
      <w:r w:rsidR="0034025E">
        <w:rPr>
          <w:rFonts w:ascii="Arial Narrow" w:hAnsi="Arial Narrow" w:cs="Arial Narrow"/>
        </w:rPr>
        <w:t xml:space="preserve">(…)  </w:t>
      </w:r>
      <w:r w:rsidRPr="0034025E">
        <w:rPr>
          <w:rFonts w:ascii="Arial Narrow" w:hAnsi="Arial Narrow"/>
        </w:rPr>
        <w:t>Los tamaños prediales mínimos, los aislamientos y normas volumétricas serán reglamentados mediante Decreto</w:t>
      </w:r>
      <w:r w:rsidR="0034025E">
        <w:rPr>
          <w:rFonts w:ascii="Arial Narrow" w:hAnsi="Arial Narrow"/>
        </w:rPr>
        <w:t xml:space="preserve"> expedido en seis (6) meses contados a partir de la vigencia del presente Acuerdo” </w:t>
      </w:r>
      <w:r w:rsidRPr="0034025E">
        <w:rPr>
          <w:rFonts w:ascii="Arial Narrow" w:hAnsi="Arial Narrow"/>
        </w:rPr>
        <w:t xml:space="preserve"> </w:t>
      </w:r>
    </w:p>
    <w:p w14:paraId="70DEC3EE" w14:textId="2D0F6F88" w:rsidR="00333517" w:rsidRDefault="00333517" w:rsidP="006E681D">
      <w:pPr>
        <w:jc w:val="both"/>
        <w:rPr>
          <w:rFonts w:ascii="Arial Narrow" w:hAnsi="Arial Narrow"/>
        </w:rPr>
      </w:pPr>
    </w:p>
    <w:p w14:paraId="15ABF014" w14:textId="749242DD" w:rsidR="00636D60" w:rsidRPr="00A968AF" w:rsidRDefault="00636D60" w:rsidP="006E681D">
      <w:pPr>
        <w:jc w:val="both"/>
        <w:rPr>
          <w:rFonts w:ascii="Arial Narrow" w:hAnsi="Arial Narrow" w:cs="Arial"/>
          <w:color w:val="000000" w:themeColor="text1"/>
        </w:rPr>
      </w:pPr>
      <w:r w:rsidRPr="00A968AF">
        <w:rPr>
          <w:rFonts w:ascii="Arial Narrow" w:hAnsi="Arial Narrow" w:cs="Arial"/>
          <w:color w:val="000000" w:themeColor="text1"/>
        </w:rPr>
        <w:t xml:space="preserve">Que si bien es cierto, dicho término expiró, no por ello el Señor Alcalde pierde competencia para realizar ajustes al Decreto 303 del 30 de diciembre de 2021 en tanto el plazo otorgado en el mentado </w:t>
      </w:r>
      <w:r w:rsidRPr="00A968AF">
        <w:rPr>
          <w:rFonts w:ascii="Arial Narrow" w:hAnsi="Arial Narrow" w:cs="Arial"/>
          <w:color w:val="000000" w:themeColor="text1"/>
        </w:rPr>
        <w:lastRenderedPageBreak/>
        <w:t>Decreto 192 de 2014 es perentorio más no preclusivo, lo que indica que la competencia se mantiene en el tiempo a pesar de haber vencido el tiempo asignado para el ejercicio de dicha facultad.</w:t>
      </w:r>
    </w:p>
    <w:p w14:paraId="0025E119" w14:textId="77777777" w:rsidR="00636D60" w:rsidRDefault="00636D60" w:rsidP="006E681D">
      <w:pPr>
        <w:jc w:val="both"/>
        <w:rPr>
          <w:rFonts w:ascii="Arial Narrow" w:hAnsi="Arial Narrow"/>
        </w:rPr>
      </w:pPr>
    </w:p>
    <w:p w14:paraId="066BDB94" w14:textId="4A7624F7" w:rsidR="00840828" w:rsidRDefault="00840828" w:rsidP="006E681D">
      <w:pPr>
        <w:jc w:val="both"/>
        <w:rPr>
          <w:rFonts w:ascii="Arial Narrow" w:hAnsi="Arial Narrow"/>
        </w:rPr>
      </w:pPr>
      <w:r>
        <w:rPr>
          <w:rFonts w:ascii="Arial Narrow" w:hAnsi="Arial Narrow"/>
        </w:rPr>
        <w:t xml:space="preserve">Que </w:t>
      </w:r>
      <w:r w:rsidR="00C57F92">
        <w:rPr>
          <w:rFonts w:ascii="Arial Narrow" w:hAnsi="Arial Narrow"/>
        </w:rPr>
        <w:t xml:space="preserve">en </w:t>
      </w:r>
      <w:r>
        <w:rPr>
          <w:rFonts w:ascii="Arial Narrow" w:hAnsi="Arial Narrow"/>
        </w:rPr>
        <w:t xml:space="preserve">el artículo 92 del Plan de Ordenamiento Territorial </w:t>
      </w:r>
      <w:r w:rsidR="00C57F92">
        <w:rPr>
          <w:rFonts w:ascii="Arial Narrow" w:hAnsi="Arial Narrow"/>
        </w:rPr>
        <w:t>Decreto municipal 192 de 2014 compilatorio de los Acuerdos: 109 de 2001, 058 de 2003, 080 de 2011 y 028 de 2014</w:t>
      </w:r>
      <w:r>
        <w:rPr>
          <w:rFonts w:ascii="Arial Narrow" w:hAnsi="Arial Narrow"/>
        </w:rPr>
        <w:t xml:space="preserve">, </w:t>
      </w:r>
      <w:r w:rsidR="00C57F92">
        <w:rPr>
          <w:rFonts w:ascii="Arial Narrow" w:hAnsi="Arial Narrow"/>
        </w:rPr>
        <w:t xml:space="preserve">se dispone que </w:t>
      </w:r>
      <w:r w:rsidR="00C57F92" w:rsidRPr="00C57F92">
        <w:rPr>
          <w:rFonts w:ascii="Arial Narrow" w:hAnsi="Arial Narrow"/>
          <w:b/>
          <w:i/>
          <w:sz w:val="22"/>
        </w:rPr>
        <w:t>“(…) los tamaños prediales mínimos, los aislamientos y normas volumétricas serán reglamentados mediante decreto expedido en seis (6) meses contados a partir de la vigencia del presente Acuerdo.</w:t>
      </w:r>
      <w:r w:rsidR="00C57F92">
        <w:rPr>
          <w:rFonts w:ascii="Arial Narrow" w:hAnsi="Arial Narrow"/>
        </w:rPr>
        <w:t>” Producto de esta delegación por parte del Concejo M</w:t>
      </w:r>
      <w:r w:rsidR="00562F32">
        <w:rPr>
          <w:rFonts w:ascii="Arial Narrow" w:hAnsi="Arial Narrow"/>
        </w:rPr>
        <w:t>unicipal se expidió el Decreto M</w:t>
      </w:r>
      <w:r w:rsidR="00C57F92">
        <w:rPr>
          <w:rFonts w:ascii="Arial Narrow" w:hAnsi="Arial Narrow"/>
        </w:rPr>
        <w:t>unicipal N° 303 de Diciembre 30 de 2021.</w:t>
      </w:r>
    </w:p>
    <w:p w14:paraId="72D379AE" w14:textId="77777777" w:rsidR="00840828" w:rsidRDefault="00840828" w:rsidP="006E681D">
      <w:pPr>
        <w:jc w:val="both"/>
        <w:rPr>
          <w:rFonts w:ascii="Arial Narrow" w:hAnsi="Arial Narrow"/>
        </w:rPr>
      </w:pPr>
    </w:p>
    <w:p w14:paraId="443687CD" w14:textId="36D1F8AB" w:rsidR="00333517" w:rsidRDefault="00B50EE4" w:rsidP="006E681D">
      <w:pPr>
        <w:jc w:val="both"/>
        <w:rPr>
          <w:rFonts w:ascii="Arial Narrow" w:hAnsi="Arial Narrow"/>
        </w:rPr>
      </w:pPr>
      <w:r>
        <w:rPr>
          <w:rFonts w:ascii="Arial Narrow" w:hAnsi="Arial Narrow"/>
        </w:rPr>
        <w:t xml:space="preserve">Que se hace necesario el ajuste de los índices de ocupación y unidades de estacionamiento destinados a Equipamientos de salud en razón a la necesidad de implantar, reformar y adaptar las edificaciones necesarias para cumplir con la cobertura </w:t>
      </w:r>
      <w:r w:rsidR="004A27EE">
        <w:rPr>
          <w:rFonts w:ascii="Arial Narrow" w:hAnsi="Arial Narrow"/>
        </w:rPr>
        <w:t xml:space="preserve">de salud </w:t>
      </w:r>
      <w:r>
        <w:rPr>
          <w:rFonts w:ascii="Arial Narrow" w:hAnsi="Arial Narrow"/>
        </w:rPr>
        <w:t>para los centros poblados mayores estipulados por el POT, promoviendo el aprovechamiento de los espacios institucionales y generando impactos necesarios en favor de los habita</w:t>
      </w:r>
      <w:r w:rsidR="004A27EE">
        <w:rPr>
          <w:rFonts w:ascii="Arial Narrow" w:hAnsi="Arial Narrow"/>
        </w:rPr>
        <w:t>ntes que habitan el suelo rural, lo anterior cumpliendo los estándares de calidad e infraestructura exigidos por las Resoluciones 3100 de 2019 y 4445 de 1996 del Ministerio de Salud y Protección Social.</w:t>
      </w:r>
    </w:p>
    <w:p w14:paraId="5C8A0AEC" w14:textId="77777777" w:rsidR="004A27EE" w:rsidRDefault="004A27EE" w:rsidP="006E681D">
      <w:pPr>
        <w:jc w:val="both"/>
        <w:rPr>
          <w:rFonts w:ascii="Arial Narrow" w:hAnsi="Arial Narrow"/>
        </w:rPr>
      </w:pPr>
    </w:p>
    <w:p w14:paraId="4F2F5BCA" w14:textId="1B6ED5C6" w:rsidR="003462BE" w:rsidRDefault="003462BE" w:rsidP="006E681D">
      <w:pPr>
        <w:jc w:val="both"/>
        <w:rPr>
          <w:rFonts w:ascii="Arial Narrow" w:hAnsi="Arial Narrow"/>
        </w:rPr>
      </w:pPr>
      <w:r>
        <w:rPr>
          <w:rFonts w:ascii="Arial Narrow" w:hAnsi="Arial Narrow"/>
        </w:rPr>
        <w:t xml:space="preserve">Que la Resolución 4445 de 1996 </w:t>
      </w:r>
      <w:r w:rsidR="00BC29D8">
        <w:rPr>
          <w:rFonts w:ascii="Arial Narrow" w:hAnsi="Arial Narrow"/>
        </w:rPr>
        <w:t xml:space="preserve">expedida por el Ministerio de Salud y Protección Social </w:t>
      </w:r>
      <w:r>
        <w:rPr>
          <w:rFonts w:ascii="Arial Narrow" w:hAnsi="Arial Narrow"/>
        </w:rPr>
        <w:t>define los requisitos técnicos para el desarrollo de infraestructura sanitaria, destacando la necesidad de adecuar los espacios a los servicios de alta complejidad. Esto incluye áreas como quirófanos, unidades de cuidados intensivos, y zonas de atención ambulatoria, así mismo la Resolución 3100 de 2019</w:t>
      </w:r>
      <w:r w:rsidR="00BC29D8">
        <w:rPr>
          <w:rFonts w:ascii="Arial Narrow" w:hAnsi="Arial Narrow"/>
        </w:rPr>
        <w:t xml:space="preserve"> expedida por el Ministerio de Salud y Protección Social</w:t>
      </w:r>
      <w:r>
        <w:rPr>
          <w:rFonts w:ascii="Arial Narrow" w:hAnsi="Arial Narrow"/>
        </w:rPr>
        <w:t xml:space="preserve"> establece las condiciones de habilitación para los prestadores de servicios de salud, incluyendo estándares de infraestructura que aseg</w:t>
      </w:r>
      <w:r w:rsidR="00F5109C">
        <w:rPr>
          <w:rFonts w:ascii="Arial Narrow" w:hAnsi="Arial Narrow"/>
        </w:rPr>
        <w:t>uran la calidad en la atención.</w:t>
      </w:r>
      <w:r w:rsidR="00C57F92">
        <w:rPr>
          <w:rFonts w:ascii="Arial Narrow" w:hAnsi="Arial Narrow"/>
        </w:rPr>
        <w:t xml:space="preserve"> </w:t>
      </w:r>
      <w:r w:rsidR="00F5109C">
        <w:rPr>
          <w:rFonts w:ascii="Arial Narrow" w:hAnsi="Arial Narrow"/>
        </w:rPr>
        <w:t>E</w:t>
      </w:r>
      <w:r w:rsidR="00C57F92">
        <w:rPr>
          <w:rFonts w:ascii="Arial Narrow" w:hAnsi="Arial Narrow"/>
        </w:rPr>
        <w:t>n razón a lo anterior</w:t>
      </w:r>
      <w:r w:rsidR="007B7094">
        <w:rPr>
          <w:rFonts w:ascii="Arial Narrow" w:hAnsi="Arial Narrow"/>
        </w:rPr>
        <w:t>,</w:t>
      </w:r>
      <w:r w:rsidR="00C57F92">
        <w:rPr>
          <w:rFonts w:ascii="Arial Narrow" w:hAnsi="Arial Narrow"/>
        </w:rPr>
        <w:t xml:space="preserve"> se hace necesario dotar a estos centros de atención en salud de las condiciones anexas complementarias como es su índice de ocupación y los parqueaderos.</w:t>
      </w:r>
    </w:p>
    <w:p w14:paraId="12FEA35A" w14:textId="77777777" w:rsidR="00556257" w:rsidRDefault="00556257" w:rsidP="006E681D">
      <w:pPr>
        <w:jc w:val="both"/>
        <w:rPr>
          <w:rFonts w:ascii="Arial Narrow" w:hAnsi="Arial Narrow"/>
        </w:rPr>
      </w:pPr>
    </w:p>
    <w:p w14:paraId="2BA26B01" w14:textId="0559F05B" w:rsidR="006B508A" w:rsidRPr="00A968AF" w:rsidRDefault="006B508A" w:rsidP="006B508A">
      <w:pPr>
        <w:jc w:val="both"/>
        <w:rPr>
          <w:rFonts w:ascii="Arial Narrow" w:hAnsi="Arial Narrow"/>
          <w:color w:val="000000" w:themeColor="text1"/>
        </w:rPr>
      </w:pPr>
      <w:r w:rsidRPr="00A968AF">
        <w:rPr>
          <w:rFonts w:ascii="Arial Narrow" w:hAnsi="Arial Narrow"/>
          <w:color w:val="000000" w:themeColor="text1"/>
        </w:rPr>
        <w:t>Que mediante Nota Interna del 27 de Enero de 2025</w:t>
      </w:r>
      <w:r w:rsidR="00A31C36" w:rsidRPr="00A968AF">
        <w:rPr>
          <w:rFonts w:ascii="Arial Narrow" w:hAnsi="Arial Narrow"/>
          <w:color w:val="000000" w:themeColor="text1"/>
        </w:rPr>
        <w:t xml:space="preserve">, dirigida a la Secretaría de Planeación, </w:t>
      </w:r>
      <w:r w:rsidRPr="00A968AF">
        <w:rPr>
          <w:rFonts w:ascii="Arial Narrow" w:hAnsi="Arial Narrow"/>
          <w:color w:val="000000" w:themeColor="text1"/>
        </w:rPr>
        <w:t>la Subsecretaría</w:t>
      </w:r>
      <w:r w:rsidR="001A6BC0" w:rsidRPr="00A968AF">
        <w:rPr>
          <w:rFonts w:ascii="Arial Narrow" w:hAnsi="Arial Narrow"/>
          <w:color w:val="000000" w:themeColor="text1"/>
        </w:rPr>
        <w:t xml:space="preserve"> de Planeación y Administración, </w:t>
      </w:r>
      <w:r w:rsidRPr="00A968AF">
        <w:rPr>
          <w:rFonts w:ascii="Arial Narrow" w:hAnsi="Arial Narrow"/>
          <w:color w:val="000000" w:themeColor="text1"/>
        </w:rPr>
        <w:t xml:space="preserve">adscrita a la Secretaría de Salud, sustenta la necesidad de establecer una modificación al Decreto 303 de 2021, en cuanto al índice de ocupación y a la asignación mínima de unidades de estacionamiento asociadas a los equipamientos de salud en los centros poblados mayores descritos en el Plan de Ordenamiento Territorial, lo anterior argumentado en el estudio del equipo técnico de la Subsecretaría que identifica que, “para cumplir con los estándares de calidad e infraestructura exigidos por las Resoluciones 3100 de 2019 y 4445 de 1996 del Ministerio de Salud y Protección Social, resulta necesario aumentar el índice de ocupación al 70% en terrenos destinados a este tipo de equipamientos. Este ajuste garantizaría la viabilidad técnica y operativa de los proyectos, además de atender de manera eficiente las necesidades de la población en materia de salud.”   </w:t>
      </w:r>
    </w:p>
    <w:p w14:paraId="6A8E51A8" w14:textId="77777777" w:rsidR="003462BE" w:rsidRDefault="003462BE" w:rsidP="006E681D">
      <w:pPr>
        <w:jc w:val="both"/>
        <w:rPr>
          <w:rFonts w:ascii="Arial Narrow" w:hAnsi="Arial Narrow"/>
        </w:rPr>
      </w:pPr>
    </w:p>
    <w:p w14:paraId="303D9868" w14:textId="5E429C58" w:rsidR="004A27EE" w:rsidRDefault="004A27EE" w:rsidP="006E681D">
      <w:pPr>
        <w:jc w:val="both"/>
        <w:rPr>
          <w:rFonts w:ascii="Arial Narrow" w:hAnsi="Arial Narrow"/>
        </w:rPr>
      </w:pPr>
      <w:r w:rsidRPr="004A27EE">
        <w:rPr>
          <w:rFonts w:ascii="Arial Narrow" w:hAnsi="Arial Narrow"/>
        </w:rPr>
        <w:t xml:space="preserve">Que de conformidad con lo establecido en el artículo 8 de la Ley 1437 de 2011, la Alcaldía Municipal de Palmira publicó, durante los días </w:t>
      </w:r>
      <w:r w:rsidRPr="000D32A3">
        <w:rPr>
          <w:rFonts w:ascii="Arial Narrow" w:hAnsi="Arial Narrow"/>
          <w:color w:val="FF0000"/>
        </w:rPr>
        <w:t>xx</w:t>
      </w:r>
      <w:r w:rsidRPr="004A27EE">
        <w:rPr>
          <w:rFonts w:ascii="Arial Narrow" w:hAnsi="Arial Narrow"/>
        </w:rPr>
        <w:t xml:space="preserve"> al </w:t>
      </w:r>
      <w:r w:rsidRPr="000D32A3">
        <w:rPr>
          <w:rFonts w:ascii="Arial Narrow" w:hAnsi="Arial Narrow"/>
          <w:color w:val="FF0000"/>
        </w:rPr>
        <w:t>xx</w:t>
      </w:r>
      <w:r w:rsidRPr="004A27EE">
        <w:rPr>
          <w:rFonts w:ascii="Arial Narrow" w:hAnsi="Arial Narrow"/>
        </w:rPr>
        <w:t xml:space="preserve"> de </w:t>
      </w:r>
      <w:r>
        <w:rPr>
          <w:rFonts w:ascii="Arial Narrow" w:hAnsi="Arial Narrow"/>
        </w:rPr>
        <w:t>febrero</w:t>
      </w:r>
      <w:r w:rsidRPr="004A27EE">
        <w:rPr>
          <w:rFonts w:ascii="Arial Narrow" w:hAnsi="Arial Narrow"/>
        </w:rPr>
        <w:t xml:space="preserve"> de 202</w:t>
      </w:r>
      <w:r>
        <w:rPr>
          <w:rFonts w:ascii="Arial Narrow" w:hAnsi="Arial Narrow"/>
        </w:rPr>
        <w:t>5</w:t>
      </w:r>
      <w:r w:rsidRPr="004A27EE">
        <w:rPr>
          <w:rFonts w:ascii="Arial Narrow" w:hAnsi="Arial Narrow"/>
        </w:rPr>
        <w:t xml:space="preserve"> en su página web https://palmira.gov.co/, el proyecto de </w:t>
      </w:r>
      <w:r>
        <w:rPr>
          <w:rFonts w:ascii="Arial Narrow" w:hAnsi="Arial Narrow"/>
        </w:rPr>
        <w:t xml:space="preserve">modificación a </w:t>
      </w:r>
      <w:r w:rsidRPr="004A27EE">
        <w:rPr>
          <w:rFonts w:ascii="Arial Narrow" w:hAnsi="Arial Narrow"/>
        </w:rPr>
        <w:t>esta reglamentación con el fin de que los ciudadanos conocieran el alcance del mismo y expresaran, en caso de haberlas, las observaciones o prop</w:t>
      </w:r>
      <w:r w:rsidR="005F38F9">
        <w:rPr>
          <w:rFonts w:ascii="Arial Narrow" w:hAnsi="Arial Narrow"/>
        </w:rPr>
        <w:t xml:space="preserve">uestas al </w:t>
      </w:r>
      <w:r w:rsidR="005F38F9" w:rsidRPr="005F38F9">
        <w:rPr>
          <w:rFonts w:ascii="Arial Narrow" w:hAnsi="Arial Narrow"/>
          <w:color w:val="000000" w:themeColor="text1"/>
        </w:rPr>
        <w:t xml:space="preserve">correo </w:t>
      </w:r>
      <w:hyperlink r:id="rId9" w:history="1">
        <w:r w:rsidR="005F38F9" w:rsidRPr="005F38F9">
          <w:rPr>
            <w:rStyle w:val="Hipervnculo"/>
            <w:rFonts w:ascii="Arial Narrow" w:hAnsi="Arial Narrow"/>
            <w:color w:val="000000" w:themeColor="text1"/>
            <w:u w:val="none"/>
          </w:rPr>
          <w:t>ventanillaunica@palmira.gov.co</w:t>
        </w:r>
      </w:hyperlink>
      <w:r w:rsidR="005F38F9" w:rsidRPr="005F38F9">
        <w:rPr>
          <w:rFonts w:ascii="Arial Narrow" w:hAnsi="Arial Narrow"/>
          <w:color w:val="000000" w:themeColor="text1"/>
        </w:rPr>
        <w:t xml:space="preserve">, dirigido </w:t>
      </w:r>
      <w:r w:rsidR="005F38F9">
        <w:rPr>
          <w:rFonts w:ascii="Arial Narrow" w:hAnsi="Arial Narrow"/>
        </w:rPr>
        <w:t>a la Secretaría de Planeación</w:t>
      </w:r>
      <w:r w:rsidRPr="004A27EE">
        <w:rPr>
          <w:rFonts w:ascii="Arial Narrow" w:hAnsi="Arial Narrow"/>
        </w:rPr>
        <w:t>.</w:t>
      </w:r>
    </w:p>
    <w:p w14:paraId="7C082CBD" w14:textId="60A94977" w:rsidR="00333517" w:rsidRDefault="00333517" w:rsidP="006E681D">
      <w:pPr>
        <w:jc w:val="both"/>
        <w:rPr>
          <w:rFonts w:ascii="Arial Narrow" w:hAnsi="Arial Narrow"/>
        </w:rPr>
      </w:pPr>
    </w:p>
    <w:p w14:paraId="5C0F4935" w14:textId="3245A1C9" w:rsidR="00333517" w:rsidRDefault="00CE54EF" w:rsidP="006E681D">
      <w:pPr>
        <w:jc w:val="both"/>
        <w:rPr>
          <w:rFonts w:ascii="Arial Narrow" w:hAnsi="Arial Narrow"/>
        </w:rPr>
      </w:pPr>
      <w:r>
        <w:rPr>
          <w:rFonts w:ascii="Arial Narrow" w:hAnsi="Arial Narrow"/>
        </w:rPr>
        <w:t>Que por lo anteriormente expuesto,</w:t>
      </w:r>
    </w:p>
    <w:p w14:paraId="345C6CF1" w14:textId="77777777" w:rsidR="00CE54EF" w:rsidRDefault="00CE54EF" w:rsidP="006E681D">
      <w:pPr>
        <w:jc w:val="both"/>
        <w:rPr>
          <w:rFonts w:ascii="Arial Narrow" w:hAnsi="Arial Narrow"/>
        </w:rPr>
      </w:pPr>
    </w:p>
    <w:p w14:paraId="6403D8AB" w14:textId="77777777" w:rsidR="00A73279" w:rsidRDefault="00A73279" w:rsidP="00CE54EF">
      <w:pPr>
        <w:jc w:val="center"/>
        <w:rPr>
          <w:rFonts w:ascii="Arial Narrow" w:hAnsi="Arial Narrow"/>
          <w:b/>
        </w:rPr>
      </w:pPr>
    </w:p>
    <w:p w14:paraId="029BF38A" w14:textId="77777777" w:rsidR="00A73279" w:rsidRDefault="00A73279" w:rsidP="00CE54EF">
      <w:pPr>
        <w:jc w:val="center"/>
        <w:rPr>
          <w:rFonts w:ascii="Arial Narrow" w:hAnsi="Arial Narrow"/>
          <w:b/>
        </w:rPr>
      </w:pPr>
    </w:p>
    <w:p w14:paraId="33DA9953" w14:textId="77777777" w:rsidR="00A73279" w:rsidRDefault="00A73279" w:rsidP="00CE54EF">
      <w:pPr>
        <w:jc w:val="center"/>
        <w:rPr>
          <w:rFonts w:ascii="Arial Narrow" w:hAnsi="Arial Narrow"/>
          <w:b/>
        </w:rPr>
      </w:pPr>
    </w:p>
    <w:p w14:paraId="58CC39FB" w14:textId="2DD9499F" w:rsidR="00CE54EF" w:rsidRPr="00CE54EF" w:rsidRDefault="00CE54EF" w:rsidP="00CE54EF">
      <w:pPr>
        <w:jc w:val="center"/>
        <w:rPr>
          <w:rFonts w:ascii="Arial Narrow" w:hAnsi="Arial Narrow"/>
          <w:b/>
        </w:rPr>
      </w:pPr>
      <w:r w:rsidRPr="00CE54EF">
        <w:rPr>
          <w:rFonts w:ascii="Arial Narrow" w:hAnsi="Arial Narrow"/>
          <w:b/>
        </w:rPr>
        <w:t>DECRETA</w:t>
      </w:r>
    </w:p>
    <w:p w14:paraId="111849B6" w14:textId="6BD0839C" w:rsidR="00333517" w:rsidRDefault="00333517" w:rsidP="006E681D">
      <w:pPr>
        <w:jc w:val="both"/>
        <w:rPr>
          <w:rFonts w:ascii="Arial Narrow" w:hAnsi="Arial Narrow"/>
        </w:rPr>
      </w:pPr>
    </w:p>
    <w:p w14:paraId="11C24C96" w14:textId="77777777" w:rsidR="00CE54EF" w:rsidRDefault="00CE54EF" w:rsidP="006E681D">
      <w:pPr>
        <w:jc w:val="both"/>
        <w:rPr>
          <w:rFonts w:ascii="Arial Narrow" w:hAnsi="Arial Narrow"/>
        </w:rPr>
      </w:pPr>
      <w:r w:rsidRPr="00CE54EF">
        <w:rPr>
          <w:rFonts w:ascii="Arial Narrow" w:hAnsi="Arial Narrow"/>
          <w:b/>
        </w:rPr>
        <w:t xml:space="preserve">ARTÍCULO PRIMERO: </w:t>
      </w:r>
      <w:r>
        <w:rPr>
          <w:rFonts w:ascii="Arial Narrow" w:hAnsi="Arial Narrow"/>
        </w:rPr>
        <w:t xml:space="preserve">Modifíquese el artículo quinto “Estacionamientos” del decreto 303 de 2021, el cual quedará así: </w:t>
      </w:r>
    </w:p>
    <w:p w14:paraId="49B82517" w14:textId="77777777" w:rsidR="00CE54EF" w:rsidRDefault="00CE54EF" w:rsidP="006E681D">
      <w:pPr>
        <w:jc w:val="both"/>
        <w:rPr>
          <w:rFonts w:ascii="Arial Narrow" w:hAnsi="Arial Narrow"/>
        </w:rPr>
      </w:pPr>
    </w:p>
    <w:p w14:paraId="3955F63A" w14:textId="6600DA00" w:rsidR="00333517" w:rsidRPr="00CE54EF" w:rsidRDefault="00CE54EF" w:rsidP="006E681D">
      <w:pPr>
        <w:jc w:val="both"/>
        <w:rPr>
          <w:rFonts w:ascii="Arial Narrow" w:hAnsi="Arial Narrow"/>
        </w:rPr>
      </w:pPr>
      <w:r>
        <w:rPr>
          <w:rFonts w:ascii="Arial Narrow" w:hAnsi="Arial Narrow"/>
        </w:rPr>
        <w:t xml:space="preserve">Las unidades de estacionamientos correspondientes a una edificación, será la resultante de la suma de unidades establecidas para cada uno de los usos que se desarrollen en la misma, así: </w:t>
      </w:r>
    </w:p>
    <w:p w14:paraId="286A5207" w14:textId="11D99868" w:rsidR="00333517" w:rsidRDefault="00333517" w:rsidP="006E681D">
      <w:pPr>
        <w:jc w:val="both"/>
        <w:rPr>
          <w:rFonts w:ascii="Arial Narrow" w:hAnsi="Arial Narrow"/>
        </w:rPr>
      </w:pPr>
    </w:p>
    <w:tbl>
      <w:tblPr>
        <w:tblStyle w:val="Tablaconcuadrcula"/>
        <w:tblW w:w="0" w:type="auto"/>
        <w:tblLook w:val="04A0" w:firstRow="1" w:lastRow="0" w:firstColumn="1" w:lastColumn="0" w:noHBand="0" w:noVBand="1"/>
      </w:tblPr>
      <w:tblGrid>
        <w:gridCol w:w="1868"/>
        <w:gridCol w:w="1390"/>
        <w:gridCol w:w="1733"/>
        <w:gridCol w:w="1776"/>
        <w:gridCol w:w="2061"/>
      </w:tblGrid>
      <w:tr w:rsidR="00BC4A19" w14:paraId="40714A82" w14:textId="77777777" w:rsidTr="00D44C60">
        <w:tc>
          <w:tcPr>
            <w:tcW w:w="3258" w:type="dxa"/>
            <w:gridSpan w:val="2"/>
          </w:tcPr>
          <w:p w14:paraId="5461099E" w14:textId="77777777" w:rsidR="00BC4A19" w:rsidRPr="00BC4A19" w:rsidRDefault="00BC4A19" w:rsidP="006E681D">
            <w:pPr>
              <w:jc w:val="both"/>
              <w:rPr>
                <w:rFonts w:ascii="Arial Narrow" w:hAnsi="Arial Narrow"/>
                <w:sz w:val="22"/>
                <w:szCs w:val="22"/>
              </w:rPr>
            </w:pPr>
          </w:p>
        </w:tc>
        <w:tc>
          <w:tcPr>
            <w:tcW w:w="3509" w:type="dxa"/>
            <w:gridSpan w:val="2"/>
          </w:tcPr>
          <w:p w14:paraId="0006089C" w14:textId="6509E7EE" w:rsidR="00BC4A19" w:rsidRPr="00BC4A19" w:rsidRDefault="00BC4A19" w:rsidP="006E681D">
            <w:pPr>
              <w:jc w:val="both"/>
              <w:rPr>
                <w:rFonts w:ascii="Arial Narrow" w:hAnsi="Arial Narrow"/>
                <w:b/>
                <w:bCs/>
                <w:sz w:val="22"/>
                <w:szCs w:val="22"/>
              </w:rPr>
            </w:pPr>
            <w:r w:rsidRPr="00BC4A19">
              <w:rPr>
                <w:rFonts w:ascii="Arial Narrow" w:hAnsi="Arial Narrow"/>
                <w:b/>
                <w:bCs/>
                <w:sz w:val="22"/>
                <w:szCs w:val="22"/>
              </w:rPr>
              <w:t>UNIDADES DE ESTACIONAMIENTOS</w:t>
            </w:r>
          </w:p>
        </w:tc>
        <w:tc>
          <w:tcPr>
            <w:tcW w:w="2061" w:type="dxa"/>
            <w:vMerge w:val="restart"/>
          </w:tcPr>
          <w:p w14:paraId="0284EC7E" w14:textId="3059AE97" w:rsidR="00BC4A19" w:rsidRPr="00BC4A19" w:rsidRDefault="00BC4A19" w:rsidP="00BC4A19">
            <w:pPr>
              <w:jc w:val="center"/>
              <w:rPr>
                <w:rFonts w:ascii="Arial Narrow" w:hAnsi="Arial Narrow"/>
                <w:b/>
                <w:bCs/>
                <w:sz w:val="22"/>
                <w:szCs w:val="22"/>
              </w:rPr>
            </w:pPr>
            <w:r w:rsidRPr="00BC4A19">
              <w:rPr>
                <w:rFonts w:ascii="Arial Narrow" w:hAnsi="Arial Narrow"/>
                <w:b/>
                <w:bCs/>
                <w:sz w:val="22"/>
                <w:szCs w:val="22"/>
              </w:rPr>
              <w:t>ZONAS DE CARGUE Y DESCARGUE</w:t>
            </w:r>
          </w:p>
        </w:tc>
      </w:tr>
      <w:tr w:rsidR="00BC4A19" w14:paraId="1134D1D7" w14:textId="77777777" w:rsidTr="00D44C60">
        <w:tc>
          <w:tcPr>
            <w:tcW w:w="1868" w:type="dxa"/>
          </w:tcPr>
          <w:p w14:paraId="7CFCC5CF" w14:textId="578BE971" w:rsidR="00BC4A19" w:rsidRPr="00BC4A19" w:rsidRDefault="00BC4A19" w:rsidP="006E681D">
            <w:pPr>
              <w:jc w:val="both"/>
              <w:rPr>
                <w:rFonts w:ascii="Arial Narrow" w:hAnsi="Arial Narrow"/>
                <w:b/>
                <w:bCs/>
                <w:sz w:val="22"/>
                <w:szCs w:val="22"/>
              </w:rPr>
            </w:pPr>
            <w:r w:rsidRPr="00BC4A19">
              <w:rPr>
                <w:rFonts w:ascii="Arial Narrow" w:hAnsi="Arial Narrow"/>
                <w:b/>
                <w:bCs/>
                <w:sz w:val="22"/>
                <w:szCs w:val="22"/>
              </w:rPr>
              <w:t>GRUPO DE USO</w:t>
            </w:r>
          </w:p>
        </w:tc>
        <w:tc>
          <w:tcPr>
            <w:tcW w:w="1390" w:type="dxa"/>
          </w:tcPr>
          <w:p w14:paraId="083D8180" w14:textId="353092BA" w:rsidR="00BC4A19" w:rsidRPr="00BC4A19" w:rsidRDefault="00BC4A19" w:rsidP="006E681D">
            <w:pPr>
              <w:jc w:val="both"/>
              <w:rPr>
                <w:rFonts w:ascii="Arial Narrow" w:hAnsi="Arial Narrow"/>
                <w:b/>
                <w:bCs/>
                <w:sz w:val="22"/>
                <w:szCs w:val="22"/>
              </w:rPr>
            </w:pPr>
            <w:r w:rsidRPr="00BC4A19">
              <w:rPr>
                <w:rFonts w:ascii="Arial Narrow" w:hAnsi="Arial Narrow"/>
                <w:b/>
                <w:bCs/>
                <w:sz w:val="22"/>
                <w:szCs w:val="22"/>
              </w:rPr>
              <w:t>USO</w:t>
            </w:r>
          </w:p>
        </w:tc>
        <w:tc>
          <w:tcPr>
            <w:tcW w:w="1733" w:type="dxa"/>
          </w:tcPr>
          <w:p w14:paraId="3A9DC32C" w14:textId="47606293" w:rsidR="00BC4A19" w:rsidRPr="00BC4A19" w:rsidRDefault="00BC4A19" w:rsidP="006E681D">
            <w:pPr>
              <w:jc w:val="both"/>
              <w:rPr>
                <w:rFonts w:ascii="Arial Narrow" w:hAnsi="Arial Narrow"/>
                <w:b/>
                <w:bCs/>
                <w:sz w:val="22"/>
                <w:szCs w:val="22"/>
              </w:rPr>
            </w:pPr>
            <w:r w:rsidRPr="00BC4A19">
              <w:rPr>
                <w:rFonts w:ascii="Arial Narrow" w:hAnsi="Arial Narrow"/>
                <w:b/>
                <w:bCs/>
                <w:sz w:val="22"/>
                <w:szCs w:val="22"/>
              </w:rPr>
              <w:t>AUTOMOVILES</w:t>
            </w:r>
          </w:p>
        </w:tc>
        <w:tc>
          <w:tcPr>
            <w:tcW w:w="1776" w:type="dxa"/>
          </w:tcPr>
          <w:p w14:paraId="51554740" w14:textId="6CC3D0B0" w:rsidR="00BC4A19" w:rsidRPr="00BC4A19" w:rsidRDefault="00BC4A19" w:rsidP="006E681D">
            <w:pPr>
              <w:jc w:val="both"/>
              <w:rPr>
                <w:rFonts w:ascii="Arial Narrow" w:hAnsi="Arial Narrow"/>
                <w:b/>
                <w:bCs/>
                <w:sz w:val="22"/>
                <w:szCs w:val="22"/>
              </w:rPr>
            </w:pPr>
            <w:r w:rsidRPr="00BC4A19">
              <w:rPr>
                <w:rFonts w:ascii="Arial Narrow" w:hAnsi="Arial Narrow"/>
                <w:b/>
                <w:bCs/>
                <w:sz w:val="22"/>
                <w:szCs w:val="22"/>
              </w:rPr>
              <w:t>MOTOCICLETAS</w:t>
            </w:r>
          </w:p>
        </w:tc>
        <w:tc>
          <w:tcPr>
            <w:tcW w:w="2061" w:type="dxa"/>
            <w:vMerge/>
          </w:tcPr>
          <w:p w14:paraId="4F9B3B0A" w14:textId="77777777" w:rsidR="00BC4A19" w:rsidRDefault="00BC4A19" w:rsidP="006E681D">
            <w:pPr>
              <w:jc w:val="both"/>
              <w:rPr>
                <w:rFonts w:ascii="Arial Narrow" w:hAnsi="Arial Narrow"/>
              </w:rPr>
            </w:pPr>
          </w:p>
        </w:tc>
      </w:tr>
      <w:tr w:rsidR="00BC4A19" w14:paraId="03071532" w14:textId="77777777" w:rsidTr="00D44C60">
        <w:tc>
          <w:tcPr>
            <w:tcW w:w="1868" w:type="dxa"/>
            <w:vAlign w:val="center"/>
          </w:tcPr>
          <w:p w14:paraId="55442F37" w14:textId="4EEC7BA2" w:rsidR="00CE54EF" w:rsidRPr="00BC4A19" w:rsidRDefault="00BC4A19" w:rsidP="00BC4A19">
            <w:pPr>
              <w:rPr>
                <w:rFonts w:ascii="Arial Narrow" w:hAnsi="Arial Narrow"/>
                <w:b/>
                <w:bCs/>
              </w:rPr>
            </w:pPr>
            <w:r w:rsidRPr="00BC4A19">
              <w:rPr>
                <w:rFonts w:ascii="Arial Narrow" w:hAnsi="Arial Narrow"/>
                <w:b/>
                <w:bCs/>
              </w:rPr>
              <w:t>COMERCIO</w:t>
            </w:r>
          </w:p>
        </w:tc>
        <w:tc>
          <w:tcPr>
            <w:tcW w:w="1390" w:type="dxa"/>
          </w:tcPr>
          <w:p w14:paraId="33D43E60" w14:textId="77777777" w:rsidR="00CE54EF" w:rsidRPr="00BC4A19" w:rsidRDefault="00CE54EF" w:rsidP="006E681D">
            <w:pPr>
              <w:jc w:val="both"/>
              <w:rPr>
                <w:rFonts w:ascii="Arial Narrow" w:hAnsi="Arial Narrow"/>
                <w:sz w:val="22"/>
                <w:szCs w:val="22"/>
              </w:rPr>
            </w:pPr>
          </w:p>
        </w:tc>
        <w:tc>
          <w:tcPr>
            <w:tcW w:w="1733" w:type="dxa"/>
            <w:vAlign w:val="center"/>
          </w:tcPr>
          <w:p w14:paraId="7069CA34" w14:textId="3120ABCD" w:rsidR="00CE54EF" w:rsidRPr="00BC4A19" w:rsidRDefault="00BC4A19" w:rsidP="00D44C60">
            <w:pPr>
              <w:rPr>
                <w:rFonts w:ascii="Arial Narrow" w:hAnsi="Arial Narrow"/>
                <w:sz w:val="22"/>
                <w:szCs w:val="22"/>
              </w:rPr>
            </w:pPr>
            <w:r w:rsidRPr="00BC4A19">
              <w:rPr>
                <w:rFonts w:ascii="Arial Narrow" w:hAnsi="Arial Narrow"/>
                <w:sz w:val="22"/>
                <w:szCs w:val="22"/>
              </w:rPr>
              <w:t>1</w:t>
            </w:r>
            <w:r>
              <w:rPr>
                <w:rFonts w:ascii="Arial Narrow" w:hAnsi="Arial Narrow"/>
                <w:sz w:val="22"/>
                <w:szCs w:val="22"/>
              </w:rPr>
              <w:t xml:space="preserve"> por cada 60 m2 construidos</w:t>
            </w:r>
          </w:p>
        </w:tc>
        <w:tc>
          <w:tcPr>
            <w:tcW w:w="1776" w:type="dxa"/>
            <w:vAlign w:val="center"/>
          </w:tcPr>
          <w:p w14:paraId="257F2B39" w14:textId="101B5FD8" w:rsidR="00CE54EF" w:rsidRPr="00BC4A19" w:rsidRDefault="00BC4A19" w:rsidP="00D44C60">
            <w:pPr>
              <w:rPr>
                <w:rFonts w:ascii="Arial Narrow" w:hAnsi="Arial Narrow"/>
                <w:sz w:val="22"/>
                <w:szCs w:val="22"/>
              </w:rPr>
            </w:pPr>
            <w:r>
              <w:rPr>
                <w:rFonts w:ascii="Arial Narrow" w:hAnsi="Arial Narrow"/>
                <w:sz w:val="22"/>
                <w:szCs w:val="22"/>
              </w:rPr>
              <w:t>1 por cada 60 m2</w:t>
            </w:r>
          </w:p>
        </w:tc>
        <w:tc>
          <w:tcPr>
            <w:tcW w:w="2061" w:type="dxa"/>
          </w:tcPr>
          <w:p w14:paraId="5B4C4514" w14:textId="77777777" w:rsidR="00CE54EF" w:rsidRDefault="00BC4A19" w:rsidP="006E681D">
            <w:pPr>
              <w:jc w:val="both"/>
              <w:rPr>
                <w:rFonts w:ascii="Arial Narrow" w:hAnsi="Arial Narrow"/>
                <w:sz w:val="22"/>
                <w:szCs w:val="22"/>
              </w:rPr>
            </w:pPr>
            <w:r>
              <w:rPr>
                <w:rFonts w:ascii="Arial Narrow" w:hAnsi="Arial Narrow"/>
                <w:sz w:val="22"/>
                <w:szCs w:val="22"/>
              </w:rPr>
              <w:t xml:space="preserve">1 </w:t>
            </w:r>
            <w:r w:rsidR="00D44C60">
              <w:rPr>
                <w:rFonts w:ascii="Arial Narrow" w:hAnsi="Arial Narrow"/>
                <w:sz w:val="22"/>
                <w:szCs w:val="22"/>
              </w:rPr>
              <w:t>zona</w:t>
            </w:r>
            <w:r>
              <w:rPr>
                <w:rFonts w:ascii="Arial Narrow" w:hAnsi="Arial Narrow"/>
                <w:sz w:val="22"/>
                <w:szCs w:val="22"/>
              </w:rPr>
              <w:t xml:space="preserve"> de cargue y descargue de 3m x 10m, más área de maniobra, por cada 500 m2 construidos.</w:t>
            </w:r>
          </w:p>
          <w:p w14:paraId="1AA9E6C7" w14:textId="4C4B1075" w:rsidR="002D7669" w:rsidRPr="00BC4A19" w:rsidRDefault="002D7669" w:rsidP="006E681D">
            <w:pPr>
              <w:jc w:val="both"/>
              <w:rPr>
                <w:rFonts w:ascii="Arial Narrow" w:hAnsi="Arial Narrow"/>
                <w:sz w:val="22"/>
                <w:szCs w:val="22"/>
              </w:rPr>
            </w:pPr>
          </w:p>
        </w:tc>
      </w:tr>
      <w:tr w:rsidR="00BC4A19" w14:paraId="0FFB77AC" w14:textId="77777777" w:rsidTr="00D44C60">
        <w:tc>
          <w:tcPr>
            <w:tcW w:w="1868" w:type="dxa"/>
            <w:vMerge w:val="restart"/>
            <w:vAlign w:val="center"/>
          </w:tcPr>
          <w:p w14:paraId="41C4DBC8" w14:textId="21D9140D" w:rsidR="00BC4A19" w:rsidRPr="00BC4A19" w:rsidRDefault="00BC4A19" w:rsidP="00BC4A19">
            <w:pPr>
              <w:rPr>
                <w:rFonts w:ascii="Arial Narrow" w:hAnsi="Arial Narrow"/>
                <w:b/>
                <w:bCs/>
              </w:rPr>
            </w:pPr>
            <w:r w:rsidRPr="00BC4A19">
              <w:rPr>
                <w:rFonts w:ascii="Arial Narrow" w:hAnsi="Arial Narrow"/>
                <w:b/>
                <w:bCs/>
              </w:rPr>
              <w:t>SERVICIOS</w:t>
            </w:r>
          </w:p>
        </w:tc>
        <w:tc>
          <w:tcPr>
            <w:tcW w:w="1390" w:type="dxa"/>
            <w:vAlign w:val="center"/>
          </w:tcPr>
          <w:p w14:paraId="38305F7A" w14:textId="78D45596" w:rsidR="00BC4A19" w:rsidRPr="00BC4A19" w:rsidRDefault="00BC4A19" w:rsidP="00D44C60">
            <w:pPr>
              <w:rPr>
                <w:rFonts w:ascii="Arial Narrow" w:hAnsi="Arial Narrow"/>
                <w:sz w:val="22"/>
                <w:szCs w:val="22"/>
              </w:rPr>
            </w:pPr>
            <w:r>
              <w:rPr>
                <w:rFonts w:ascii="Arial Narrow" w:hAnsi="Arial Narrow"/>
                <w:sz w:val="22"/>
                <w:szCs w:val="22"/>
              </w:rPr>
              <w:t>Ecoturismo</w:t>
            </w:r>
          </w:p>
        </w:tc>
        <w:tc>
          <w:tcPr>
            <w:tcW w:w="1733" w:type="dxa"/>
            <w:vAlign w:val="center"/>
          </w:tcPr>
          <w:p w14:paraId="32CB914E" w14:textId="7D8CA473" w:rsidR="00BC4A19" w:rsidRPr="00BC4A19" w:rsidRDefault="00BC4A19" w:rsidP="00D44C60">
            <w:pPr>
              <w:rPr>
                <w:rFonts w:ascii="Arial Narrow" w:hAnsi="Arial Narrow"/>
                <w:sz w:val="22"/>
                <w:szCs w:val="22"/>
              </w:rPr>
            </w:pPr>
            <w:r>
              <w:rPr>
                <w:rFonts w:ascii="Arial Narrow" w:hAnsi="Arial Narrow"/>
                <w:sz w:val="22"/>
                <w:szCs w:val="22"/>
              </w:rPr>
              <w:t>1 por cada unidad independiente turística</w:t>
            </w:r>
          </w:p>
        </w:tc>
        <w:tc>
          <w:tcPr>
            <w:tcW w:w="1776" w:type="dxa"/>
            <w:vAlign w:val="center"/>
          </w:tcPr>
          <w:p w14:paraId="469229D6" w14:textId="17CBE168" w:rsidR="00BC4A19" w:rsidRPr="00BC4A19" w:rsidRDefault="00BC4A19" w:rsidP="00D44C60">
            <w:pPr>
              <w:rPr>
                <w:rFonts w:ascii="Arial Narrow" w:hAnsi="Arial Narrow"/>
                <w:sz w:val="22"/>
                <w:szCs w:val="22"/>
              </w:rPr>
            </w:pPr>
            <w:r>
              <w:rPr>
                <w:rFonts w:ascii="Arial Narrow" w:hAnsi="Arial Narrow"/>
                <w:sz w:val="22"/>
                <w:szCs w:val="22"/>
              </w:rPr>
              <w:t>1 por cada 10 unidades independientes turísticas</w:t>
            </w:r>
          </w:p>
        </w:tc>
        <w:tc>
          <w:tcPr>
            <w:tcW w:w="2061" w:type="dxa"/>
          </w:tcPr>
          <w:p w14:paraId="705BE209" w14:textId="77777777" w:rsidR="00BC4A19" w:rsidRPr="00BC4A19" w:rsidRDefault="00BC4A19" w:rsidP="006E681D">
            <w:pPr>
              <w:jc w:val="both"/>
              <w:rPr>
                <w:rFonts w:ascii="Arial Narrow" w:hAnsi="Arial Narrow"/>
                <w:sz w:val="22"/>
                <w:szCs w:val="22"/>
              </w:rPr>
            </w:pPr>
          </w:p>
        </w:tc>
      </w:tr>
      <w:tr w:rsidR="00BC4A19" w14:paraId="2800EA9F" w14:textId="77777777" w:rsidTr="00D44C60">
        <w:tc>
          <w:tcPr>
            <w:tcW w:w="1868" w:type="dxa"/>
            <w:vMerge/>
            <w:vAlign w:val="center"/>
          </w:tcPr>
          <w:p w14:paraId="3D2AB376" w14:textId="04544713" w:rsidR="00BC4A19" w:rsidRPr="00BC4A19" w:rsidRDefault="00BC4A19" w:rsidP="00BC4A19">
            <w:pPr>
              <w:rPr>
                <w:rFonts w:ascii="Arial Narrow" w:hAnsi="Arial Narrow"/>
                <w:b/>
                <w:bCs/>
              </w:rPr>
            </w:pPr>
          </w:p>
        </w:tc>
        <w:tc>
          <w:tcPr>
            <w:tcW w:w="1390" w:type="dxa"/>
            <w:vAlign w:val="center"/>
          </w:tcPr>
          <w:p w14:paraId="2A3395A1" w14:textId="0FD224E6" w:rsidR="00BC4A19" w:rsidRPr="00BC4A19" w:rsidRDefault="00BC4A19" w:rsidP="00D44C60">
            <w:pPr>
              <w:rPr>
                <w:rFonts w:ascii="Arial Narrow" w:hAnsi="Arial Narrow"/>
                <w:sz w:val="22"/>
                <w:szCs w:val="22"/>
              </w:rPr>
            </w:pPr>
            <w:r>
              <w:rPr>
                <w:rFonts w:ascii="Arial Narrow" w:hAnsi="Arial Narrow"/>
                <w:sz w:val="22"/>
                <w:szCs w:val="22"/>
              </w:rPr>
              <w:t>Instalaciones deportivas</w:t>
            </w:r>
          </w:p>
        </w:tc>
        <w:tc>
          <w:tcPr>
            <w:tcW w:w="1733" w:type="dxa"/>
            <w:vAlign w:val="center"/>
          </w:tcPr>
          <w:p w14:paraId="17FFFA36" w14:textId="7631BC02" w:rsidR="00BC4A19" w:rsidRPr="00BC4A19" w:rsidRDefault="00BC4A19" w:rsidP="00D44C60">
            <w:pPr>
              <w:rPr>
                <w:rFonts w:ascii="Arial Narrow" w:hAnsi="Arial Narrow"/>
                <w:sz w:val="22"/>
                <w:szCs w:val="22"/>
              </w:rPr>
            </w:pPr>
            <w:r>
              <w:rPr>
                <w:rFonts w:ascii="Arial Narrow" w:hAnsi="Arial Narrow"/>
                <w:sz w:val="22"/>
                <w:szCs w:val="22"/>
              </w:rPr>
              <w:t>1 por cada 50 m2 construidos</w:t>
            </w:r>
          </w:p>
        </w:tc>
        <w:tc>
          <w:tcPr>
            <w:tcW w:w="1776" w:type="dxa"/>
            <w:vAlign w:val="center"/>
          </w:tcPr>
          <w:p w14:paraId="522EB059" w14:textId="21705762" w:rsidR="00BC4A19" w:rsidRPr="00BC4A19" w:rsidRDefault="00D44C60" w:rsidP="00D44C60">
            <w:pPr>
              <w:rPr>
                <w:rFonts w:ascii="Arial Narrow" w:hAnsi="Arial Narrow"/>
                <w:sz w:val="22"/>
                <w:szCs w:val="22"/>
              </w:rPr>
            </w:pPr>
            <w:r>
              <w:rPr>
                <w:rFonts w:ascii="Arial Narrow" w:hAnsi="Arial Narrow"/>
                <w:sz w:val="22"/>
                <w:szCs w:val="22"/>
              </w:rPr>
              <w:t>1 por cada 50 m2 construidos</w:t>
            </w:r>
          </w:p>
        </w:tc>
        <w:tc>
          <w:tcPr>
            <w:tcW w:w="2061" w:type="dxa"/>
          </w:tcPr>
          <w:p w14:paraId="64303227" w14:textId="77777777" w:rsidR="00BC4A19" w:rsidRPr="00BC4A19" w:rsidRDefault="00BC4A19" w:rsidP="006E681D">
            <w:pPr>
              <w:jc w:val="both"/>
              <w:rPr>
                <w:rFonts w:ascii="Arial Narrow" w:hAnsi="Arial Narrow"/>
                <w:sz w:val="22"/>
                <w:szCs w:val="22"/>
              </w:rPr>
            </w:pPr>
          </w:p>
        </w:tc>
      </w:tr>
      <w:tr w:rsidR="00BC4A19" w14:paraId="6C82828F" w14:textId="77777777" w:rsidTr="00D44C60">
        <w:tc>
          <w:tcPr>
            <w:tcW w:w="1868" w:type="dxa"/>
            <w:vMerge/>
            <w:vAlign w:val="center"/>
          </w:tcPr>
          <w:p w14:paraId="4635912E" w14:textId="30374F96" w:rsidR="00BC4A19" w:rsidRPr="00BC4A19" w:rsidRDefault="00BC4A19" w:rsidP="00BC4A19">
            <w:pPr>
              <w:rPr>
                <w:rFonts w:ascii="Arial Narrow" w:hAnsi="Arial Narrow"/>
                <w:b/>
                <w:bCs/>
              </w:rPr>
            </w:pPr>
          </w:p>
        </w:tc>
        <w:tc>
          <w:tcPr>
            <w:tcW w:w="1390" w:type="dxa"/>
            <w:vAlign w:val="center"/>
          </w:tcPr>
          <w:p w14:paraId="100F6D20" w14:textId="45395381" w:rsidR="00BC4A19" w:rsidRPr="00BC4A19" w:rsidRDefault="00BC4A19" w:rsidP="00D44C60">
            <w:pPr>
              <w:rPr>
                <w:rFonts w:ascii="Arial Narrow" w:hAnsi="Arial Narrow"/>
                <w:sz w:val="22"/>
                <w:szCs w:val="22"/>
              </w:rPr>
            </w:pPr>
            <w:r>
              <w:rPr>
                <w:rFonts w:ascii="Arial Narrow" w:hAnsi="Arial Narrow"/>
                <w:sz w:val="22"/>
                <w:szCs w:val="22"/>
              </w:rPr>
              <w:t>Otros servicios</w:t>
            </w:r>
          </w:p>
        </w:tc>
        <w:tc>
          <w:tcPr>
            <w:tcW w:w="1733" w:type="dxa"/>
            <w:vAlign w:val="center"/>
          </w:tcPr>
          <w:p w14:paraId="3ADA2F2E" w14:textId="36667CB5" w:rsidR="00BC4A19" w:rsidRPr="00BC4A19" w:rsidRDefault="00D44C60" w:rsidP="00D44C60">
            <w:pPr>
              <w:rPr>
                <w:rFonts w:ascii="Arial Narrow" w:hAnsi="Arial Narrow"/>
                <w:sz w:val="22"/>
                <w:szCs w:val="22"/>
              </w:rPr>
            </w:pPr>
            <w:r>
              <w:rPr>
                <w:rFonts w:ascii="Arial Narrow" w:hAnsi="Arial Narrow"/>
                <w:sz w:val="22"/>
                <w:szCs w:val="22"/>
              </w:rPr>
              <w:t>1 por cada 60 m2 construidos</w:t>
            </w:r>
          </w:p>
        </w:tc>
        <w:tc>
          <w:tcPr>
            <w:tcW w:w="1776" w:type="dxa"/>
            <w:vAlign w:val="center"/>
          </w:tcPr>
          <w:p w14:paraId="5F50C748" w14:textId="247C5961" w:rsidR="00BC4A19" w:rsidRPr="00BC4A19" w:rsidRDefault="00D44C60" w:rsidP="00D44C60">
            <w:pPr>
              <w:rPr>
                <w:rFonts w:ascii="Arial Narrow" w:hAnsi="Arial Narrow"/>
                <w:sz w:val="22"/>
                <w:szCs w:val="22"/>
              </w:rPr>
            </w:pPr>
            <w:r>
              <w:rPr>
                <w:rFonts w:ascii="Arial Narrow" w:hAnsi="Arial Narrow"/>
                <w:sz w:val="22"/>
                <w:szCs w:val="22"/>
              </w:rPr>
              <w:t>1 por cada 60 m2 construidos</w:t>
            </w:r>
          </w:p>
        </w:tc>
        <w:tc>
          <w:tcPr>
            <w:tcW w:w="2061" w:type="dxa"/>
          </w:tcPr>
          <w:p w14:paraId="1802EA1B" w14:textId="77777777" w:rsidR="00BC4A19" w:rsidRDefault="00D44C60" w:rsidP="006E681D">
            <w:pPr>
              <w:jc w:val="both"/>
              <w:rPr>
                <w:rFonts w:ascii="Arial Narrow" w:hAnsi="Arial Narrow"/>
                <w:sz w:val="22"/>
                <w:szCs w:val="22"/>
              </w:rPr>
            </w:pPr>
            <w:r>
              <w:rPr>
                <w:rFonts w:ascii="Arial Narrow" w:hAnsi="Arial Narrow"/>
                <w:sz w:val="22"/>
                <w:szCs w:val="22"/>
              </w:rPr>
              <w:t>Servicios hoteleros: 1 zona de cargue y descargue de 3m x 10m, más área de maniobra, por cada 500 m2 construidos.</w:t>
            </w:r>
          </w:p>
          <w:p w14:paraId="38FA119D" w14:textId="5D9ADC36" w:rsidR="002D7669" w:rsidRPr="00BC4A19" w:rsidRDefault="002D7669" w:rsidP="006E681D">
            <w:pPr>
              <w:jc w:val="both"/>
              <w:rPr>
                <w:rFonts w:ascii="Arial Narrow" w:hAnsi="Arial Narrow"/>
                <w:sz w:val="22"/>
                <w:szCs w:val="22"/>
              </w:rPr>
            </w:pPr>
          </w:p>
        </w:tc>
      </w:tr>
      <w:tr w:rsidR="00BC4A19" w14:paraId="7A9F431C" w14:textId="77777777" w:rsidTr="00D44C60">
        <w:tc>
          <w:tcPr>
            <w:tcW w:w="1868" w:type="dxa"/>
            <w:vAlign w:val="center"/>
          </w:tcPr>
          <w:p w14:paraId="65D78F93" w14:textId="7BEE7054" w:rsidR="00CE54EF" w:rsidRPr="00BC4A19" w:rsidRDefault="00BC4A19" w:rsidP="00BC4A19">
            <w:pPr>
              <w:rPr>
                <w:rFonts w:ascii="Arial Narrow" w:hAnsi="Arial Narrow"/>
                <w:b/>
                <w:bCs/>
              </w:rPr>
            </w:pPr>
            <w:r w:rsidRPr="00BC4A19">
              <w:rPr>
                <w:rFonts w:ascii="Arial Narrow" w:hAnsi="Arial Narrow"/>
                <w:b/>
                <w:bCs/>
              </w:rPr>
              <w:t>INDUSTRIA</w:t>
            </w:r>
          </w:p>
        </w:tc>
        <w:tc>
          <w:tcPr>
            <w:tcW w:w="1390" w:type="dxa"/>
            <w:vAlign w:val="center"/>
          </w:tcPr>
          <w:p w14:paraId="19ABDC56" w14:textId="77777777" w:rsidR="00CE54EF" w:rsidRPr="00BC4A19" w:rsidRDefault="00CE54EF" w:rsidP="00D44C60">
            <w:pPr>
              <w:rPr>
                <w:rFonts w:ascii="Arial Narrow" w:hAnsi="Arial Narrow"/>
                <w:sz w:val="22"/>
                <w:szCs w:val="22"/>
              </w:rPr>
            </w:pPr>
          </w:p>
        </w:tc>
        <w:tc>
          <w:tcPr>
            <w:tcW w:w="1733" w:type="dxa"/>
            <w:vAlign w:val="center"/>
          </w:tcPr>
          <w:p w14:paraId="7130923A" w14:textId="5242A76E" w:rsidR="00CE54EF" w:rsidRPr="00BC4A19" w:rsidRDefault="00D44C60" w:rsidP="00D44C60">
            <w:pPr>
              <w:rPr>
                <w:rFonts w:ascii="Arial Narrow" w:hAnsi="Arial Narrow"/>
                <w:sz w:val="22"/>
                <w:szCs w:val="22"/>
              </w:rPr>
            </w:pPr>
            <w:r>
              <w:rPr>
                <w:rFonts w:ascii="Arial Narrow" w:hAnsi="Arial Narrow"/>
                <w:sz w:val="22"/>
                <w:szCs w:val="22"/>
              </w:rPr>
              <w:t>1 por cada 600 m2 construidos</w:t>
            </w:r>
          </w:p>
        </w:tc>
        <w:tc>
          <w:tcPr>
            <w:tcW w:w="1776" w:type="dxa"/>
            <w:vAlign w:val="center"/>
          </w:tcPr>
          <w:p w14:paraId="6F66A3BE" w14:textId="28352F81" w:rsidR="00CE54EF" w:rsidRPr="00BC4A19" w:rsidRDefault="00D44C60" w:rsidP="00D44C60">
            <w:pPr>
              <w:rPr>
                <w:rFonts w:ascii="Arial Narrow" w:hAnsi="Arial Narrow"/>
                <w:sz w:val="22"/>
                <w:szCs w:val="22"/>
              </w:rPr>
            </w:pPr>
            <w:r>
              <w:rPr>
                <w:rFonts w:ascii="Arial Narrow" w:hAnsi="Arial Narrow"/>
                <w:sz w:val="22"/>
                <w:szCs w:val="22"/>
              </w:rPr>
              <w:t>1 por cada 100 m2 construidos</w:t>
            </w:r>
          </w:p>
        </w:tc>
        <w:tc>
          <w:tcPr>
            <w:tcW w:w="2061" w:type="dxa"/>
          </w:tcPr>
          <w:p w14:paraId="42DBDF7B" w14:textId="77777777" w:rsidR="00CE54EF" w:rsidRDefault="00D44C60" w:rsidP="006E681D">
            <w:pPr>
              <w:jc w:val="both"/>
              <w:rPr>
                <w:rFonts w:ascii="Arial Narrow" w:hAnsi="Arial Narrow"/>
                <w:sz w:val="22"/>
                <w:szCs w:val="22"/>
              </w:rPr>
            </w:pPr>
            <w:r>
              <w:rPr>
                <w:rFonts w:ascii="Arial Narrow" w:hAnsi="Arial Narrow"/>
                <w:sz w:val="22"/>
                <w:szCs w:val="22"/>
              </w:rPr>
              <w:t>2 zonas con un mínimo de 3m x 10m por cada 600 m2 construidos, más área de maniobra</w:t>
            </w:r>
          </w:p>
          <w:p w14:paraId="4FA4A6C9" w14:textId="5307BF98" w:rsidR="002D7669" w:rsidRPr="00BC4A19" w:rsidRDefault="002D7669" w:rsidP="006E681D">
            <w:pPr>
              <w:jc w:val="both"/>
              <w:rPr>
                <w:rFonts w:ascii="Arial Narrow" w:hAnsi="Arial Narrow"/>
                <w:sz w:val="22"/>
                <w:szCs w:val="22"/>
              </w:rPr>
            </w:pPr>
          </w:p>
        </w:tc>
      </w:tr>
      <w:tr w:rsidR="008348E2" w14:paraId="25322C02" w14:textId="77777777" w:rsidTr="00D44C60">
        <w:tc>
          <w:tcPr>
            <w:tcW w:w="1868" w:type="dxa"/>
            <w:vMerge w:val="restart"/>
            <w:vAlign w:val="center"/>
          </w:tcPr>
          <w:p w14:paraId="4ADE7E0F" w14:textId="638445D6" w:rsidR="008348E2" w:rsidRPr="00BC4A19" w:rsidRDefault="008348E2" w:rsidP="00BC4A19">
            <w:pPr>
              <w:rPr>
                <w:rFonts w:ascii="Arial Narrow" w:hAnsi="Arial Narrow"/>
                <w:b/>
                <w:bCs/>
              </w:rPr>
            </w:pPr>
            <w:r w:rsidRPr="00BC4A19">
              <w:rPr>
                <w:rFonts w:ascii="Arial Narrow" w:hAnsi="Arial Narrow"/>
                <w:b/>
                <w:bCs/>
              </w:rPr>
              <w:t>EQUIPAMIENTOS</w:t>
            </w:r>
          </w:p>
        </w:tc>
        <w:tc>
          <w:tcPr>
            <w:tcW w:w="1390" w:type="dxa"/>
            <w:vAlign w:val="center"/>
          </w:tcPr>
          <w:p w14:paraId="5496ED13" w14:textId="1D3AB11A" w:rsidR="008348E2" w:rsidRPr="00BC4A19" w:rsidRDefault="008348E2" w:rsidP="00D44C60">
            <w:pPr>
              <w:rPr>
                <w:rFonts w:ascii="Arial Narrow" w:hAnsi="Arial Narrow"/>
                <w:sz w:val="22"/>
                <w:szCs w:val="22"/>
              </w:rPr>
            </w:pPr>
            <w:r>
              <w:rPr>
                <w:rFonts w:ascii="Arial Narrow" w:hAnsi="Arial Narrow"/>
                <w:sz w:val="22"/>
                <w:szCs w:val="22"/>
              </w:rPr>
              <w:t>Educativos (preescolar y básica) y de bienestar social</w:t>
            </w:r>
          </w:p>
        </w:tc>
        <w:tc>
          <w:tcPr>
            <w:tcW w:w="1733" w:type="dxa"/>
            <w:vAlign w:val="center"/>
          </w:tcPr>
          <w:p w14:paraId="3D11D3C2" w14:textId="636A68CD" w:rsidR="008348E2" w:rsidRPr="00BC4A19" w:rsidRDefault="008348E2" w:rsidP="00D44C60">
            <w:pPr>
              <w:rPr>
                <w:rFonts w:ascii="Arial Narrow" w:hAnsi="Arial Narrow"/>
                <w:sz w:val="22"/>
                <w:szCs w:val="22"/>
              </w:rPr>
            </w:pPr>
            <w:r>
              <w:rPr>
                <w:rFonts w:ascii="Arial Narrow" w:hAnsi="Arial Narrow"/>
                <w:sz w:val="22"/>
                <w:szCs w:val="22"/>
              </w:rPr>
              <w:t>1 por cada 80 m2 construidos</w:t>
            </w:r>
          </w:p>
        </w:tc>
        <w:tc>
          <w:tcPr>
            <w:tcW w:w="1776" w:type="dxa"/>
            <w:vAlign w:val="center"/>
          </w:tcPr>
          <w:p w14:paraId="6FF59BDB" w14:textId="4267092C" w:rsidR="008348E2" w:rsidRPr="00BC4A19" w:rsidRDefault="008348E2" w:rsidP="00D44C60">
            <w:pPr>
              <w:rPr>
                <w:rFonts w:ascii="Arial Narrow" w:hAnsi="Arial Narrow"/>
                <w:sz w:val="22"/>
                <w:szCs w:val="22"/>
              </w:rPr>
            </w:pPr>
            <w:r>
              <w:rPr>
                <w:rFonts w:ascii="Arial Narrow" w:hAnsi="Arial Narrow"/>
                <w:sz w:val="22"/>
                <w:szCs w:val="22"/>
              </w:rPr>
              <w:t>1 por cada 80 m2 construidos</w:t>
            </w:r>
          </w:p>
        </w:tc>
        <w:tc>
          <w:tcPr>
            <w:tcW w:w="2061" w:type="dxa"/>
          </w:tcPr>
          <w:p w14:paraId="3C690D5B" w14:textId="77777777" w:rsidR="008348E2" w:rsidRPr="00BC4A19" w:rsidRDefault="008348E2" w:rsidP="006E681D">
            <w:pPr>
              <w:jc w:val="both"/>
              <w:rPr>
                <w:rFonts w:ascii="Arial Narrow" w:hAnsi="Arial Narrow"/>
                <w:sz w:val="22"/>
                <w:szCs w:val="22"/>
              </w:rPr>
            </w:pPr>
          </w:p>
        </w:tc>
      </w:tr>
      <w:tr w:rsidR="008348E2" w14:paraId="041A06D5" w14:textId="77777777" w:rsidTr="00D44C60">
        <w:tc>
          <w:tcPr>
            <w:tcW w:w="1868" w:type="dxa"/>
            <w:vMerge/>
          </w:tcPr>
          <w:p w14:paraId="4D7F38E5" w14:textId="77777777" w:rsidR="008348E2" w:rsidRDefault="008348E2" w:rsidP="006E681D">
            <w:pPr>
              <w:jc w:val="both"/>
              <w:rPr>
                <w:rFonts w:ascii="Arial Narrow" w:hAnsi="Arial Narrow"/>
              </w:rPr>
            </w:pPr>
          </w:p>
        </w:tc>
        <w:tc>
          <w:tcPr>
            <w:tcW w:w="1390" w:type="dxa"/>
            <w:vAlign w:val="center"/>
          </w:tcPr>
          <w:p w14:paraId="24B68CB3" w14:textId="6511965C" w:rsidR="008348E2" w:rsidRDefault="008348E2" w:rsidP="00D44C60">
            <w:pPr>
              <w:rPr>
                <w:rFonts w:ascii="Arial Narrow" w:hAnsi="Arial Narrow"/>
                <w:sz w:val="22"/>
                <w:szCs w:val="22"/>
              </w:rPr>
            </w:pPr>
            <w:r>
              <w:rPr>
                <w:rFonts w:ascii="Arial Narrow" w:hAnsi="Arial Narrow"/>
                <w:sz w:val="22"/>
                <w:szCs w:val="22"/>
              </w:rPr>
              <w:t xml:space="preserve">De Salud Áreas de actividad residencial rural </w:t>
            </w:r>
          </w:p>
        </w:tc>
        <w:tc>
          <w:tcPr>
            <w:tcW w:w="1733" w:type="dxa"/>
            <w:vAlign w:val="center"/>
          </w:tcPr>
          <w:p w14:paraId="0A406AE6" w14:textId="6545355F" w:rsidR="008348E2" w:rsidRPr="00BC4A19" w:rsidRDefault="008348E2" w:rsidP="00D44C60">
            <w:pPr>
              <w:rPr>
                <w:rFonts w:ascii="Arial Narrow" w:hAnsi="Arial Narrow"/>
                <w:sz w:val="22"/>
                <w:szCs w:val="22"/>
              </w:rPr>
            </w:pPr>
            <w:r>
              <w:rPr>
                <w:rFonts w:ascii="Arial Narrow" w:hAnsi="Arial Narrow"/>
                <w:sz w:val="22"/>
                <w:szCs w:val="22"/>
              </w:rPr>
              <w:t xml:space="preserve">1 por cada 2 consultorios </w:t>
            </w:r>
          </w:p>
        </w:tc>
        <w:tc>
          <w:tcPr>
            <w:tcW w:w="1776" w:type="dxa"/>
            <w:vAlign w:val="center"/>
          </w:tcPr>
          <w:p w14:paraId="6451B20C" w14:textId="31C5EE10" w:rsidR="008348E2" w:rsidRPr="00BC4A19" w:rsidRDefault="008348E2" w:rsidP="00D44C60">
            <w:pPr>
              <w:rPr>
                <w:rFonts w:ascii="Arial Narrow" w:hAnsi="Arial Narrow"/>
                <w:sz w:val="22"/>
                <w:szCs w:val="22"/>
              </w:rPr>
            </w:pPr>
            <w:r>
              <w:rPr>
                <w:rFonts w:ascii="Arial Narrow" w:hAnsi="Arial Narrow"/>
                <w:sz w:val="22"/>
                <w:szCs w:val="22"/>
              </w:rPr>
              <w:t>1 por cada 2 camas de hospitalización</w:t>
            </w:r>
          </w:p>
        </w:tc>
        <w:tc>
          <w:tcPr>
            <w:tcW w:w="2061" w:type="dxa"/>
          </w:tcPr>
          <w:p w14:paraId="08194B14" w14:textId="77777777" w:rsidR="008348E2" w:rsidRDefault="008348E2" w:rsidP="006E681D">
            <w:pPr>
              <w:jc w:val="both"/>
              <w:rPr>
                <w:rFonts w:ascii="Arial Narrow" w:hAnsi="Arial Narrow"/>
                <w:sz w:val="22"/>
                <w:szCs w:val="22"/>
              </w:rPr>
            </w:pPr>
            <w:r>
              <w:rPr>
                <w:rFonts w:ascii="Arial Narrow" w:hAnsi="Arial Narrow"/>
                <w:sz w:val="22"/>
                <w:szCs w:val="22"/>
              </w:rPr>
              <w:t>1 área de parqueo para vehículos de emergencia en un mínimo de tres vehículos, más área de maniobra.</w:t>
            </w:r>
          </w:p>
          <w:p w14:paraId="2D2874EA" w14:textId="795BE29E" w:rsidR="008348E2" w:rsidRPr="00BC4A19" w:rsidRDefault="008348E2" w:rsidP="006E681D">
            <w:pPr>
              <w:jc w:val="both"/>
              <w:rPr>
                <w:rFonts w:ascii="Arial Narrow" w:hAnsi="Arial Narrow"/>
                <w:sz w:val="22"/>
                <w:szCs w:val="22"/>
              </w:rPr>
            </w:pPr>
          </w:p>
        </w:tc>
      </w:tr>
      <w:tr w:rsidR="008348E2" w14:paraId="0D421B29" w14:textId="77777777" w:rsidTr="00D44C60">
        <w:tc>
          <w:tcPr>
            <w:tcW w:w="1868" w:type="dxa"/>
            <w:vMerge/>
          </w:tcPr>
          <w:p w14:paraId="291DC9CD" w14:textId="77777777" w:rsidR="008348E2" w:rsidRDefault="008348E2" w:rsidP="006E681D">
            <w:pPr>
              <w:jc w:val="both"/>
              <w:rPr>
                <w:rFonts w:ascii="Arial Narrow" w:hAnsi="Arial Narrow"/>
              </w:rPr>
            </w:pPr>
          </w:p>
        </w:tc>
        <w:tc>
          <w:tcPr>
            <w:tcW w:w="1390" w:type="dxa"/>
            <w:vAlign w:val="center"/>
          </w:tcPr>
          <w:p w14:paraId="76D38F71" w14:textId="6EC234AA" w:rsidR="008348E2" w:rsidRDefault="008348E2" w:rsidP="00D44C60">
            <w:pPr>
              <w:rPr>
                <w:rFonts w:ascii="Arial Narrow" w:hAnsi="Arial Narrow"/>
                <w:sz w:val="22"/>
                <w:szCs w:val="22"/>
              </w:rPr>
            </w:pPr>
            <w:r>
              <w:rPr>
                <w:rFonts w:ascii="Arial Narrow" w:hAnsi="Arial Narrow"/>
                <w:sz w:val="22"/>
                <w:szCs w:val="22"/>
              </w:rPr>
              <w:t>Otras de salud</w:t>
            </w:r>
          </w:p>
        </w:tc>
        <w:tc>
          <w:tcPr>
            <w:tcW w:w="1733" w:type="dxa"/>
            <w:vAlign w:val="center"/>
          </w:tcPr>
          <w:p w14:paraId="2D32D751" w14:textId="0E653E4D" w:rsidR="008348E2" w:rsidRDefault="008348E2" w:rsidP="00D44C60">
            <w:pPr>
              <w:rPr>
                <w:rFonts w:ascii="Arial Narrow" w:hAnsi="Arial Narrow"/>
                <w:sz w:val="22"/>
                <w:szCs w:val="22"/>
              </w:rPr>
            </w:pPr>
            <w:r>
              <w:rPr>
                <w:rFonts w:ascii="Arial Narrow" w:hAnsi="Arial Narrow"/>
                <w:sz w:val="22"/>
                <w:szCs w:val="22"/>
              </w:rPr>
              <w:t>1 por cada 60 m2 construidos</w:t>
            </w:r>
          </w:p>
        </w:tc>
        <w:tc>
          <w:tcPr>
            <w:tcW w:w="1776" w:type="dxa"/>
            <w:vAlign w:val="center"/>
          </w:tcPr>
          <w:p w14:paraId="127AFC3F" w14:textId="703CF729" w:rsidR="008348E2" w:rsidRDefault="008348E2" w:rsidP="00D44C60">
            <w:pPr>
              <w:rPr>
                <w:rFonts w:ascii="Arial Narrow" w:hAnsi="Arial Narrow"/>
                <w:sz w:val="22"/>
                <w:szCs w:val="22"/>
              </w:rPr>
            </w:pPr>
            <w:r>
              <w:rPr>
                <w:rFonts w:ascii="Arial Narrow" w:hAnsi="Arial Narrow"/>
                <w:sz w:val="22"/>
                <w:szCs w:val="22"/>
              </w:rPr>
              <w:t>1 por cada 80 m2 construidos</w:t>
            </w:r>
          </w:p>
        </w:tc>
        <w:tc>
          <w:tcPr>
            <w:tcW w:w="2061" w:type="dxa"/>
          </w:tcPr>
          <w:p w14:paraId="5C36A964" w14:textId="77777777" w:rsidR="008348E2" w:rsidRDefault="008348E2" w:rsidP="008348E2">
            <w:pPr>
              <w:jc w:val="both"/>
              <w:rPr>
                <w:rFonts w:ascii="Arial Narrow" w:hAnsi="Arial Narrow"/>
                <w:sz w:val="22"/>
                <w:szCs w:val="22"/>
              </w:rPr>
            </w:pPr>
            <w:r>
              <w:rPr>
                <w:rFonts w:ascii="Arial Narrow" w:hAnsi="Arial Narrow"/>
                <w:sz w:val="22"/>
                <w:szCs w:val="22"/>
              </w:rPr>
              <w:t xml:space="preserve">1 área de parqueo para vehículos de emergencia en un mínimo de tres vehículos, más área </w:t>
            </w:r>
            <w:r>
              <w:rPr>
                <w:rFonts w:ascii="Arial Narrow" w:hAnsi="Arial Narrow"/>
                <w:sz w:val="22"/>
                <w:szCs w:val="22"/>
              </w:rPr>
              <w:lastRenderedPageBreak/>
              <w:t>de maniobra.</w:t>
            </w:r>
          </w:p>
          <w:p w14:paraId="132BAABF" w14:textId="77777777" w:rsidR="008348E2" w:rsidRDefault="008348E2" w:rsidP="006E681D">
            <w:pPr>
              <w:jc w:val="both"/>
              <w:rPr>
                <w:rFonts w:ascii="Arial Narrow" w:hAnsi="Arial Narrow"/>
                <w:sz w:val="22"/>
                <w:szCs w:val="22"/>
              </w:rPr>
            </w:pPr>
          </w:p>
        </w:tc>
      </w:tr>
      <w:tr w:rsidR="008348E2" w14:paraId="6B501751" w14:textId="77777777" w:rsidTr="00D44C60">
        <w:tc>
          <w:tcPr>
            <w:tcW w:w="1868" w:type="dxa"/>
            <w:vMerge/>
          </w:tcPr>
          <w:p w14:paraId="10CF1B4D" w14:textId="77777777" w:rsidR="008348E2" w:rsidRDefault="008348E2" w:rsidP="006E681D">
            <w:pPr>
              <w:jc w:val="both"/>
              <w:rPr>
                <w:rFonts w:ascii="Arial Narrow" w:hAnsi="Arial Narrow"/>
              </w:rPr>
            </w:pPr>
          </w:p>
        </w:tc>
        <w:tc>
          <w:tcPr>
            <w:tcW w:w="1390" w:type="dxa"/>
            <w:vAlign w:val="center"/>
          </w:tcPr>
          <w:p w14:paraId="745712E4" w14:textId="759CD3DB" w:rsidR="008348E2" w:rsidRPr="00BC4A19" w:rsidRDefault="008348E2" w:rsidP="00D44C60">
            <w:pPr>
              <w:rPr>
                <w:rFonts w:ascii="Arial Narrow" w:hAnsi="Arial Narrow"/>
                <w:sz w:val="22"/>
                <w:szCs w:val="22"/>
              </w:rPr>
            </w:pPr>
            <w:r>
              <w:rPr>
                <w:rFonts w:ascii="Arial Narrow" w:hAnsi="Arial Narrow"/>
                <w:sz w:val="22"/>
                <w:szCs w:val="22"/>
              </w:rPr>
              <w:t>Otros equipamientos</w:t>
            </w:r>
          </w:p>
        </w:tc>
        <w:tc>
          <w:tcPr>
            <w:tcW w:w="1733" w:type="dxa"/>
            <w:vAlign w:val="center"/>
          </w:tcPr>
          <w:p w14:paraId="4B7C9E54" w14:textId="799953E9" w:rsidR="008348E2" w:rsidRPr="00BC4A19" w:rsidRDefault="008348E2" w:rsidP="00D44C60">
            <w:pPr>
              <w:rPr>
                <w:rFonts w:ascii="Arial Narrow" w:hAnsi="Arial Narrow"/>
                <w:sz w:val="22"/>
                <w:szCs w:val="22"/>
              </w:rPr>
            </w:pPr>
            <w:r>
              <w:rPr>
                <w:rFonts w:ascii="Arial Narrow" w:hAnsi="Arial Narrow"/>
                <w:sz w:val="22"/>
                <w:szCs w:val="22"/>
              </w:rPr>
              <w:t>1 por cada 60 m2 construidos</w:t>
            </w:r>
          </w:p>
        </w:tc>
        <w:tc>
          <w:tcPr>
            <w:tcW w:w="1776" w:type="dxa"/>
            <w:vAlign w:val="center"/>
          </w:tcPr>
          <w:p w14:paraId="06D2CCC5" w14:textId="0A351D9D" w:rsidR="008348E2" w:rsidRPr="00BC4A19" w:rsidRDefault="008348E2" w:rsidP="00D44C60">
            <w:pPr>
              <w:rPr>
                <w:rFonts w:ascii="Arial Narrow" w:hAnsi="Arial Narrow"/>
                <w:sz w:val="22"/>
                <w:szCs w:val="22"/>
              </w:rPr>
            </w:pPr>
            <w:r>
              <w:rPr>
                <w:rFonts w:ascii="Arial Narrow" w:hAnsi="Arial Narrow"/>
                <w:sz w:val="22"/>
                <w:szCs w:val="22"/>
              </w:rPr>
              <w:t>1 por cada 80 m2 construidos</w:t>
            </w:r>
          </w:p>
        </w:tc>
        <w:tc>
          <w:tcPr>
            <w:tcW w:w="2061" w:type="dxa"/>
          </w:tcPr>
          <w:p w14:paraId="4D61E621" w14:textId="77777777" w:rsidR="008348E2" w:rsidRDefault="008348E2" w:rsidP="006E681D">
            <w:pPr>
              <w:jc w:val="both"/>
              <w:rPr>
                <w:rFonts w:ascii="Arial Narrow" w:hAnsi="Arial Narrow"/>
                <w:sz w:val="22"/>
                <w:szCs w:val="22"/>
              </w:rPr>
            </w:pPr>
            <w:r>
              <w:rPr>
                <w:rFonts w:ascii="Arial Narrow" w:hAnsi="Arial Narrow"/>
                <w:sz w:val="22"/>
                <w:szCs w:val="22"/>
              </w:rPr>
              <w:t>Equipamientos de abastecimiento: 4 zonas de cargue y descargue de 3m x 10m, más área de maniobra por cada 500m2 construidos.</w:t>
            </w:r>
          </w:p>
          <w:p w14:paraId="60064348" w14:textId="5B55A039" w:rsidR="008348E2" w:rsidRPr="00BC4A19" w:rsidRDefault="008348E2" w:rsidP="006E681D">
            <w:pPr>
              <w:jc w:val="both"/>
              <w:rPr>
                <w:rFonts w:ascii="Arial Narrow" w:hAnsi="Arial Narrow"/>
                <w:sz w:val="22"/>
                <w:szCs w:val="22"/>
              </w:rPr>
            </w:pPr>
          </w:p>
        </w:tc>
      </w:tr>
    </w:tbl>
    <w:p w14:paraId="1A9BFCA2" w14:textId="6D3786A0" w:rsidR="00333517" w:rsidRDefault="00333517" w:rsidP="006E681D">
      <w:pPr>
        <w:jc w:val="both"/>
        <w:rPr>
          <w:rFonts w:ascii="Arial Narrow" w:hAnsi="Arial Narrow"/>
        </w:rPr>
      </w:pPr>
    </w:p>
    <w:p w14:paraId="7C2D9664" w14:textId="54A6E41B" w:rsidR="00064D4F" w:rsidRDefault="00064D4F" w:rsidP="00064D4F">
      <w:pPr>
        <w:jc w:val="both"/>
        <w:rPr>
          <w:rFonts w:ascii="Arial Narrow" w:hAnsi="Arial Narrow"/>
        </w:rPr>
      </w:pPr>
      <w:r w:rsidRPr="00CE54EF">
        <w:rPr>
          <w:rFonts w:ascii="Arial Narrow" w:hAnsi="Arial Narrow"/>
          <w:b/>
        </w:rPr>
        <w:t xml:space="preserve">ARTÍCULO </w:t>
      </w:r>
      <w:r>
        <w:rPr>
          <w:rFonts w:ascii="Arial Narrow" w:hAnsi="Arial Narrow"/>
          <w:b/>
        </w:rPr>
        <w:t>SEGUNDO</w:t>
      </w:r>
      <w:r w:rsidRPr="00CE54EF">
        <w:rPr>
          <w:rFonts w:ascii="Arial Narrow" w:hAnsi="Arial Narrow"/>
          <w:b/>
        </w:rPr>
        <w:t xml:space="preserve">: </w:t>
      </w:r>
      <w:r>
        <w:rPr>
          <w:rFonts w:ascii="Arial Narrow" w:hAnsi="Arial Narrow"/>
        </w:rPr>
        <w:t xml:space="preserve">Modifíquese el literal d) del artículo décimo segundo “Índices de ocupación para usos de </w:t>
      </w:r>
      <w:r w:rsidR="006B5FA6">
        <w:rPr>
          <w:rFonts w:ascii="Arial Narrow" w:hAnsi="Arial Narrow"/>
        </w:rPr>
        <w:t>servicios y equipamientos” del D</w:t>
      </w:r>
      <w:r>
        <w:rPr>
          <w:rFonts w:ascii="Arial Narrow" w:hAnsi="Arial Narrow"/>
        </w:rPr>
        <w:t xml:space="preserve">ecreto 303 de 2021, el cual quedará así: </w:t>
      </w:r>
    </w:p>
    <w:p w14:paraId="7BEF8491" w14:textId="77777777" w:rsidR="00064D4F" w:rsidRDefault="00064D4F" w:rsidP="00064D4F">
      <w:pPr>
        <w:jc w:val="both"/>
        <w:rPr>
          <w:rFonts w:ascii="Arial Narrow" w:hAnsi="Arial Narrow"/>
        </w:rPr>
      </w:pPr>
    </w:p>
    <w:p w14:paraId="02F48B7D" w14:textId="3476E895" w:rsidR="00570B38" w:rsidRDefault="00064D4F" w:rsidP="00064D4F">
      <w:pPr>
        <w:jc w:val="both"/>
        <w:rPr>
          <w:rFonts w:ascii="Arial Narrow" w:hAnsi="Arial Narrow"/>
        </w:rPr>
      </w:pPr>
      <w:r w:rsidRPr="00064D4F">
        <w:rPr>
          <w:rFonts w:ascii="Arial Narrow" w:hAnsi="Arial Narrow"/>
          <w:b/>
          <w:bCs/>
        </w:rPr>
        <w:t>d)</w:t>
      </w:r>
      <w:r w:rsidR="00E93D76">
        <w:rPr>
          <w:rFonts w:ascii="Arial Narrow" w:hAnsi="Arial Narrow"/>
        </w:rPr>
        <w:t xml:space="preserve"> </w:t>
      </w:r>
      <w:r w:rsidR="00E93D76" w:rsidRPr="00E93D76">
        <w:rPr>
          <w:rFonts w:ascii="Arial Narrow" w:hAnsi="Arial Narrow"/>
        </w:rPr>
        <w:t xml:space="preserve">Para </w:t>
      </w:r>
      <w:r w:rsidR="00E93D76">
        <w:rPr>
          <w:rFonts w:ascii="Arial Narrow" w:hAnsi="Arial Narrow"/>
        </w:rPr>
        <w:t xml:space="preserve">equipamientos de salud en </w:t>
      </w:r>
      <w:r w:rsidR="00E93D76" w:rsidRPr="00E93D76">
        <w:rPr>
          <w:rFonts w:ascii="Arial Narrow" w:hAnsi="Arial Narrow"/>
        </w:rPr>
        <w:t>las Áreas de actividad residencial rural el índice</w:t>
      </w:r>
      <w:r w:rsidR="00E93D76">
        <w:rPr>
          <w:rFonts w:ascii="Arial Narrow" w:hAnsi="Arial Narrow"/>
        </w:rPr>
        <w:t xml:space="preserve"> </w:t>
      </w:r>
      <w:r w:rsidR="00570B38">
        <w:rPr>
          <w:rFonts w:ascii="Arial Narrow" w:hAnsi="Arial Narrow"/>
        </w:rPr>
        <w:t xml:space="preserve">de ocupación será </w:t>
      </w:r>
      <w:r w:rsidR="00585D5D">
        <w:rPr>
          <w:rFonts w:ascii="Arial Narrow" w:hAnsi="Arial Narrow"/>
        </w:rPr>
        <w:t>del 70%</w:t>
      </w:r>
      <w:r w:rsidR="00B84379">
        <w:rPr>
          <w:rFonts w:ascii="Arial Narrow" w:hAnsi="Arial Narrow"/>
        </w:rPr>
        <w:t>.</w:t>
      </w:r>
    </w:p>
    <w:p w14:paraId="0FB426EA" w14:textId="77777777" w:rsidR="00585D5D" w:rsidRDefault="00585D5D" w:rsidP="00064D4F">
      <w:pPr>
        <w:jc w:val="both"/>
        <w:rPr>
          <w:rFonts w:ascii="Arial Narrow" w:hAnsi="Arial Narrow"/>
        </w:rPr>
      </w:pPr>
    </w:p>
    <w:p w14:paraId="12AFE29C" w14:textId="43AB8AB4" w:rsidR="00585D5D" w:rsidRDefault="00585D5D" w:rsidP="00585D5D">
      <w:pPr>
        <w:jc w:val="both"/>
        <w:rPr>
          <w:rFonts w:ascii="Arial Narrow" w:hAnsi="Arial Narrow"/>
        </w:rPr>
      </w:pPr>
      <w:r w:rsidRPr="00CE54EF">
        <w:rPr>
          <w:rFonts w:ascii="Arial Narrow" w:hAnsi="Arial Narrow"/>
          <w:b/>
        </w:rPr>
        <w:t xml:space="preserve">ARTÍCULO </w:t>
      </w:r>
      <w:r>
        <w:rPr>
          <w:rFonts w:ascii="Arial Narrow" w:hAnsi="Arial Narrow"/>
          <w:b/>
        </w:rPr>
        <w:t>TERCERO</w:t>
      </w:r>
      <w:r w:rsidRPr="00CE54EF">
        <w:rPr>
          <w:rFonts w:ascii="Arial Narrow" w:hAnsi="Arial Narrow"/>
          <w:b/>
        </w:rPr>
        <w:t xml:space="preserve">: </w:t>
      </w:r>
      <w:r>
        <w:rPr>
          <w:rFonts w:ascii="Arial Narrow" w:hAnsi="Arial Narrow"/>
        </w:rPr>
        <w:t xml:space="preserve">Adiciónese el literal e) en el artículo décimo segundo “Índices de ocupación para usos de </w:t>
      </w:r>
      <w:r w:rsidR="009D1A6B">
        <w:rPr>
          <w:rFonts w:ascii="Arial Narrow" w:hAnsi="Arial Narrow"/>
        </w:rPr>
        <w:t>servicios y equipamientos” del D</w:t>
      </w:r>
      <w:r>
        <w:rPr>
          <w:rFonts w:ascii="Arial Narrow" w:hAnsi="Arial Narrow"/>
        </w:rPr>
        <w:t xml:space="preserve">ecreto 303 de 2021, el cual quedará así: </w:t>
      </w:r>
    </w:p>
    <w:p w14:paraId="00953BF0" w14:textId="77777777" w:rsidR="00585D5D" w:rsidRDefault="00585D5D" w:rsidP="00585D5D">
      <w:pPr>
        <w:jc w:val="both"/>
        <w:rPr>
          <w:rFonts w:ascii="Arial Narrow" w:hAnsi="Arial Narrow"/>
        </w:rPr>
      </w:pPr>
    </w:p>
    <w:p w14:paraId="782921AD" w14:textId="3E87DC9B" w:rsidR="00585D5D" w:rsidRDefault="00585D5D" w:rsidP="00585D5D">
      <w:pPr>
        <w:jc w:val="both"/>
        <w:rPr>
          <w:rFonts w:ascii="Arial Narrow" w:hAnsi="Arial Narrow"/>
        </w:rPr>
      </w:pPr>
      <w:r>
        <w:rPr>
          <w:rFonts w:ascii="Arial Narrow" w:hAnsi="Arial Narrow"/>
          <w:b/>
          <w:bCs/>
        </w:rPr>
        <w:t>e</w:t>
      </w:r>
      <w:r w:rsidRPr="00064D4F">
        <w:rPr>
          <w:rFonts w:ascii="Arial Narrow" w:hAnsi="Arial Narrow"/>
          <w:b/>
          <w:bCs/>
        </w:rPr>
        <w:t>)</w:t>
      </w:r>
      <w:r>
        <w:rPr>
          <w:rFonts w:ascii="Arial Narrow" w:hAnsi="Arial Narrow"/>
        </w:rPr>
        <w:t xml:space="preserve"> Para las demás áreas de actividad el índice de ocupación será </w:t>
      </w:r>
      <w:r w:rsidR="00E43396">
        <w:rPr>
          <w:rFonts w:ascii="Arial Narrow" w:hAnsi="Arial Narrow"/>
        </w:rPr>
        <w:t>d</w:t>
      </w:r>
      <w:r>
        <w:rPr>
          <w:rFonts w:ascii="Arial Narrow" w:hAnsi="Arial Narrow"/>
        </w:rPr>
        <w:t xml:space="preserve">el </w:t>
      </w:r>
      <w:r w:rsidR="00E43396">
        <w:rPr>
          <w:rFonts w:ascii="Arial Narrow" w:hAnsi="Arial Narrow"/>
        </w:rPr>
        <w:t>3</w:t>
      </w:r>
      <w:r>
        <w:rPr>
          <w:rFonts w:ascii="Arial Narrow" w:hAnsi="Arial Narrow"/>
        </w:rPr>
        <w:t>0%</w:t>
      </w:r>
    </w:p>
    <w:p w14:paraId="0D45981B" w14:textId="77777777" w:rsidR="00585D5D" w:rsidRDefault="00585D5D" w:rsidP="00064D4F">
      <w:pPr>
        <w:jc w:val="both"/>
        <w:rPr>
          <w:rFonts w:ascii="Arial Narrow" w:hAnsi="Arial Narrow"/>
        </w:rPr>
      </w:pPr>
    </w:p>
    <w:p w14:paraId="2EBDB3D3" w14:textId="03366BDC" w:rsidR="00064D4F" w:rsidRDefault="005D29B9" w:rsidP="00064D4F">
      <w:pPr>
        <w:jc w:val="both"/>
        <w:rPr>
          <w:rFonts w:ascii="Arial Narrow" w:hAnsi="Arial Narrow"/>
        </w:rPr>
      </w:pPr>
      <w:r w:rsidRPr="00CE54EF">
        <w:rPr>
          <w:rFonts w:ascii="Arial Narrow" w:hAnsi="Arial Narrow"/>
          <w:b/>
        </w:rPr>
        <w:t xml:space="preserve">ARTÍCULO </w:t>
      </w:r>
      <w:r>
        <w:rPr>
          <w:rFonts w:ascii="Arial Narrow" w:hAnsi="Arial Narrow"/>
          <w:b/>
        </w:rPr>
        <w:t>CUARTO</w:t>
      </w:r>
      <w:r w:rsidRPr="00CE54EF">
        <w:rPr>
          <w:rFonts w:ascii="Arial Narrow" w:hAnsi="Arial Narrow"/>
          <w:b/>
        </w:rPr>
        <w:t xml:space="preserve">: </w:t>
      </w:r>
      <w:r>
        <w:rPr>
          <w:rFonts w:ascii="Arial Narrow" w:hAnsi="Arial Narrow"/>
        </w:rPr>
        <w:t>El presente Decreto rige a partir de la fecha de su publicación y deroga las demás disposiciones que le sean contrarias.</w:t>
      </w:r>
    </w:p>
    <w:p w14:paraId="2A97236A" w14:textId="77777777" w:rsidR="005D29B9" w:rsidRDefault="005D29B9" w:rsidP="00064D4F">
      <w:pPr>
        <w:jc w:val="both"/>
        <w:rPr>
          <w:rFonts w:ascii="Arial Narrow" w:hAnsi="Arial Narrow"/>
        </w:rPr>
      </w:pPr>
    </w:p>
    <w:p w14:paraId="59D47BEF" w14:textId="7382BABD" w:rsidR="005D29B9" w:rsidRPr="005D29B9" w:rsidRDefault="005D29B9" w:rsidP="005D29B9">
      <w:pPr>
        <w:jc w:val="center"/>
        <w:rPr>
          <w:rFonts w:ascii="Arial Narrow" w:hAnsi="Arial Narrow"/>
          <w:b/>
        </w:rPr>
      </w:pPr>
      <w:r w:rsidRPr="005D29B9">
        <w:rPr>
          <w:rFonts w:ascii="Arial Narrow" w:hAnsi="Arial Narrow"/>
          <w:b/>
        </w:rPr>
        <w:t>PUBLÍQUESE Y CÚMPLASE</w:t>
      </w:r>
    </w:p>
    <w:p w14:paraId="540126F9" w14:textId="77777777" w:rsidR="005D29B9" w:rsidRDefault="005D29B9" w:rsidP="006E681D">
      <w:pPr>
        <w:jc w:val="both"/>
        <w:rPr>
          <w:rFonts w:ascii="Arial Narrow" w:hAnsi="Arial Narrow"/>
        </w:rPr>
      </w:pPr>
    </w:p>
    <w:p w14:paraId="063495AD" w14:textId="788CFE35" w:rsidR="00333517" w:rsidRDefault="005D29B9" w:rsidP="006E681D">
      <w:pPr>
        <w:jc w:val="both"/>
        <w:rPr>
          <w:rFonts w:ascii="Arial Narrow" w:hAnsi="Arial Narrow"/>
        </w:rPr>
      </w:pPr>
      <w:r>
        <w:rPr>
          <w:rFonts w:ascii="Arial Narrow" w:hAnsi="Arial Narrow"/>
        </w:rPr>
        <w:t>Dado   en el Despacho del Alcalde Municipal de Palmira – Valle del Cauca, a los cuatro (4) días del mes de febrero del año dos mil veinticinco (2025)</w:t>
      </w:r>
    </w:p>
    <w:p w14:paraId="0DA77BCC" w14:textId="6D44F688" w:rsidR="00333517" w:rsidRDefault="00333517" w:rsidP="006E681D">
      <w:pPr>
        <w:jc w:val="both"/>
        <w:rPr>
          <w:rFonts w:ascii="Arial Narrow" w:hAnsi="Arial Narrow"/>
        </w:rPr>
      </w:pPr>
    </w:p>
    <w:p w14:paraId="4B40F1B4" w14:textId="77777777" w:rsidR="005D29B9" w:rsidRDefault="005D29B9" w:rsidP="006E681D">
      <w:pPr>
        <w:jc w:val="both"/>
        <w:rPr>
          <w:rFonts w:ascii="Arial Narrow" w:hAnsi="Arial Narrow"/>
        </w:rPr>
      </w:pPr>
    </w:p>
    <w:p w14:paraId="158558AA" w14:textId="77777777" w:rsidR="005D29B9" w:rsidRDefault="005D29B9" w:rsidP="006E681D">
      <w:pPr>
        <w:jc w:val="both"/>
        <w:rPr>
          <w:rFonts w:ascii="Arial Narrow" w:hAnsi="Arial Narrow"/>
        </w:rPr>
      </w:pPr>
    </w:p>
    <w:p w14:paraId="37A7362B" w14:textId="6B5AA398" w:rsidR="005D29B9" w:rsidRPr="005D29B9" w:rsidRDefault="005D29B9" w:rsidP="005D29B9">
      <w:pPr>
        <w:jc w:val="center"/>
        <w:rPr>
          <w:rFonts w:ascii="Arial Narrow" w:hAnsi="Arial Narrow"/>
          <w:b/>
        </w:rPr>
      </w:pPr>
      <w:r w:rsidRPr="005D29B9">
        <w:rPr>
          <w:rFonts w:ascii="Arial Narrow" w:hAnsi="Arial Narrow"/>
          <w:b/>
        </w:rPr>
        <w:t>VICTOR MANUEL RAMOS VERGARA</w:t>
      </w:r>
    </w:p>
    <w:p w14:paraId="3C7B9046" w14:textId="17808E7C" w:rsidR="005D29B9" w:rsidRPr="004D7029" w:rsidRDefault="005D29B9" w:rsidP="005D29B9">
      <w:pPr>
        <w:jc w:val="center"/>
        <w:rPr>
          <w:rFonts w:ascii="Arial Narrow" w:hAnsi="Arial Narrow"/>
        </w:rPr>
      </w:pPr>
      <w:r w:rsidRPr="004D7029">
        <w:rPr>
          <w:rFonts w:ascii="Arial Narrow" w:hAnsi="Arial Narrow"/>
        </w:rPr>
        <w:t>Alcalde Municipal</w:t>
      </w:r>
    </w:p>
    <w:p w14:paraId="09B2ACCE" w14:textId="269C15CE" w:rsidR="00333517" w:rsidRDefault="00333517" w:rsidP="006E681D">
      <w:pPr>
        <w:jc w:val="both"/>
        <w:rPr>
          <w:rFonts w:ascii="Arial Narrow" w:hAnsi="Arial Narrow"/>
        </w:rPr>
      </w:pPr>
    </w:p>
    <w:p w14:paraId="4CFD57CD" w14:textId="2E1E36C1" w:rsidR="00333517" w:rsidRDefault="00333517" w:rsidP="006E681D">
      <w:pPr>
        <w:jc w:val="both"/>
        <w:rPr>
          <w:rFonts w:ascii="Arial Narrow" w:hAnsi="Arial Narrow"/>
        </w:rPr>
      </w:pPr>
    </w:p>
    <w:p w14:paraId="4DA36DEC" w14:textId="77777777" w:rsidR="00333517" w:rsidRDefault="00333517" w:rsidP="00460191">
      <w:pPr>
        <w:rPr>
          <w:rFonts w:ascii="Arial Narrow" w:hAnsi="Arial Narrow"/>
        </w:rPr>
      </w:pPr>
    </w:p>
    <w:p w14:paraId="11BCC470" w14:textId="54D61A64" w:rsidR="00333517" w:rsidRDefault="00333517" w:rsidP="00F439F8">
      <w:pPr>
        <w:rPr>
          <w:rFonts w:ascii="Arial Narrow" w:hAnsi="Arial Narrow"/>
          <w:sz w:val="20"/>
        </w:rPr>
      </w:pPr>
      <w:r>
        <w:rPr>
          <w:rFonts w:ascii="Arial Narrow" w:hAnsi="Arial Narrow"/>
          <w:sz w:val="20"/>
        </w:rPr>
        <w:t>Proyect</w:t>
      </w:r>
      <w:r w:rsidR="009A4D64">
        <w:rPr>
          <w:rFonts w:ascii="Arial Narrow" w:hAnsi="Arial Narrow"/>
          <w:sz w:val="20"/>
        </w:rPr>
        <w:t>ó</w:t>
      </w:r>
      <w:r>
        <w:rPr>
          <w:rFonts w:ascii="Arial Narrow" w:hAnsi="Arial Narrow"/>
          <w:sz w:val="20"/>
        </w:rPr>
        <w:t xml:space="preserve">:  </w:t>
      </w:r>
      <w:r>
        <w:rPr>
          <w:rFonts w:ascii="Arial Narrow" w:hAnsi="Arial Narrow"/>
          <w:sz w:val="20"/>
        </w:rPr>
        <w:tab/>
      </w:r>
      <w:r w:rsidR="0006427F">
        <w:rPr>
          <w:rFonts w:ascii="Arial Narrow" w:hAnsi="Arial Narrow"/>
          <w:sz w:val="20"/>
        </w:rPr>
        <w:t>Oscar F</w:t>
      </w:r>
      <w:r w:rsidR="00732838">
        <w:rPr>
          <w:rFonts w:ascii="Arial Narrow" w:hAnsi="Arial Narrow"/>
          <w:sz w:val="20"/>
        </w:rPr>
        <w:t>ernando</w:t>
      </w:r>
      <w:r w:rsidR="0006427F">
        <w:rPr>
          <w:rFonts w:ascii="Arial Narrow" w:hAnsi="Arial Narrow"/>
          <w:sz w:val="20"/>
        </w:rPr>
        <w:t xml:space="preserve"> Manrique Flórez</w:t>
      </w:r>
      <w:r>
        <w:rPr>
          <w:rFonts w:ascii="Arial Narrow" w:hAnsi="Arial Narrow"/>
          <w:sz w:val="20"/>
        </w:rPr>
        <w:t xml:space="preserve"> – </w:t>
      </w:r>
      <w:r w:rsidR="0006427F">
        <w:rPr>
          <w:rFonts w:ascii="Arial Narrow" w:hAnsi="Arial Narrow"/>
          <w:sz w:val="20"/>
        </w:rPr>
        <w:t>Profesional Especializado IV</w:t>
      </w:r>
    </w:p>
    <w:p w14:paraId="11C8BE07" w14:textId="0A982AE8" w:rsidR="00333517" w:rsidRDefault="009A4D64" w:rsidP="00F439F8">
      <w:pPr>
        <w:rPr>
          <w:rFonts w:ascii="Arial Narrow" w:hAnsi="Arial Narrow"/>
          <w:sz w:val="20"/>
        </w:rPr>
      </w:pPr>
      <w:r>
        <w:rPr>
          <w:rFonts w:ascii="Arial Narrow" w:hAnsi="Arial Narrow"/>
          <w:sz w:val="20"/>
        </w:rPr>
        <w:t>Revisó</w:t>
      </w:r>
      <w:r w:rsidR="00333517">
        <w:rPr>
          <w:rFonts w:ascii="Arial Narrow" w:hAnsi="Arial Narrow"/>
          <w:sz w:val="20"/>
        </w:rPr>
        <w:t>:</w:t>
      </w:r>
      <w:r w:rsidR="00333517">
        <w:rPr>
          <w:rFonts w:ascii="Arial Narrow" w:hAnsi="Arial Narrow"/>
          <w:sz w:val="20"/>
        </w:rPr>
        <w:tab/>
      </w:r>
      <w:r w:rsidR="00333517">
        <w:rPr>
          <w:rFonts w:ascii="Arial Narrow" w:hAnsi="Arial Narrow"/>
          <w:sz w:val="20"/>
        </w:rPr>
        <w:tab/>
      </w:r>
      <w:r w:rsidR="0006427F">
        <w:rPr>
          <w:rFonts w:ascii="Arial Narrow" w:hAnsi="Arial Narrow"/>
          <w:sz w:val="20"/>
        </w:rPr>
        <w:t>Mauricio Alejandro Galeano Restrepo</w:t>
      </w:r>
      <w:r w:rsidR="00333517">
        <w:rPr>
          <w:rFonts w:ascii="Arial Narrow" w:hAnsi="Arial Narrow"/>
          <w:sz w:val="20"/>
        </w:rPr>
        <w:t xml:space="preserve"> – </w:t>
      </w:r>
      <w:r w:rsidR="0006427F">
        <w:rPr>
          <w:rFonts w:ascii="Arial Narrow" w:hAnsi="Arial Narrow"/>
          <w:sz w:val="20"/>
        </w:rPr>
        <w:t>Profesional Especializado IV</w:t>
      </w:r>
    </w:p>
    <w:p w14:paraId="68AE659F" w14:textId="70410392" w:rsidR="00333517" w:rsidRPr="0006427F" w:rsidRDefault="00333517" w:rsidP="0006427F">
      <w:pPr>
        <w:rPr>
          <w:rFonts w:ascii="Arial Narrow" w:hAnsi="Arial Narrow"/>
          <w:sz w:val="20"/>
        </w:rPr>
        <w:sectPr w:rsidR="00333517" w:rsidRPr="0006427F" w:rsidSect="00A73279">
          <w:headerReference w:type="default" r:id="rId10"/>
          <w:footerReference w:type="default" r:id="rId11"/>
          <w:pgSz w:w="12240" w:h="18720" w:code="14"/>
          <w:pgMar w:top="2268" w:right="1701" w:bottom="1701" w:left="1701" w:header="709" w:footer="709" w:gutter="0"/>
          <w:pgNumType w:start="1"/>
          <w:cols w:space="708"/>
          <w:docGrid w:linePitch="360"/>
        </w:sectPr>
      </w:pPr>
      <w:r>
        <w:rPr>
          <w:rFonts w:ascii="Arial Narrow" w:hAnsi="Arial Narrow"/>
          <w:sz w:val="20"/>
        </w:rPr>
        <w:t>Aprobó:</w:t>
      </w:r>
      <w:r>
        <w:rPr>
          <w:rFonts w:ascii="Arial Narrow" w:hAnsi="Arial Narrow"/>
          <w:sz w:val="20"/>
        </w:rPr>
        <w:tab/>
      </w:r>
      <w:r>
        <w:rPr>
          <w:rFonts w:ascii="Arial Narrow" w:hAnsi="Arial Narrow"/>
          <w:sz w:val="20"/>
        </w:rPr>
        <w:tab/>
      </w:r>
      <w:r w:rsidR="0006427F">
        <w:rPr>
          <w:rFonts w:ascii="Arial Narrow" w:hAnsi="Arial Narrow"/>
          <w:sz w:val="20"/>
        </w:rPr>
        <w:t>Margarita Rosa Domínguez Von Rosen</w:t>
      </w:r>
      <w:r>
        <w:rPr>
          <w:rFonts w:ascii="Arial Narrow" w:hAnsi="Arial Narrow"/>
          <w:sz w:val="20"/>
        </w:rPr>
        <w:t xml:space="preserve"> – </w:t>
      </w:r>
      <w:r w:rsidR="0006427F">
        <w:rPr>
          <w:rFonts w:ascii="Arial Narrow" w:hAnsi="Arial Narrow"/>
          <w:sz w:val="20"/>
        </w:rPr>
        <w:t>Subsecretaria de Planeación Territorial</w:t>
      </w:r>
    </w:p>
    <w:permEnd w:id="1044724968"/>
    <w:p w14:paraId="057D71F0" w14:textId="77777777" w:rsidR="00333517" w:rsidRPr="00F439F8" w:rsidRDefault="00333517" w:rsidP="0006427F">
      <w:pPr>
        <w:tabs>
          <w:tab w:val="left" w:pos="1716"/>
        </w:tabs>
        <w:rPr>
          <w:rFonts w:ascii="Arial Narrow" w:hAnsi="Arial Narrow"/>
        </w:rPr>
      </w:pPr>
    </w:p>
    <w:sectPr w:rsidR="00333517" w:rsidRPr="00F439F8" w:rsidSect="00A73279">
      <w:headerReference w:type="default" r:id="rId12"/>
      <w:footerReference w:type="default" r:id="rId13"/>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ED1CE" w14:textId="77777777" w:rsidR="0098088D" w:rsidRDefault="0098088D" w:rsidP="009B0518">
      <w:r>
        <w:separator/>
      </w:r>
    </w:p>
  </w:endnote>
  <w:endnote w:type="continuationSeparator" w:id="0">
    <w:p w14:paraId="007E7894" w14:textId="77777777" w:rsidR="0098088D" w:rsidRDefault="0098088D" w:rsidP="009B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701"/>
      <w:gridCol w:w="3402"/>
    </w:tblGrid>
    <w:tr w:rsidR="00B11AB6" w14:paraId="72C432E8" w14:textId="77777777" w:rsidTr="00B11AB6">
      <w:trPr>
        <w:trHeight w:val="1113"/>
      </w:trPr>
      <w:tc>
        <w:tcPr>
          <w:tcW w:w="4106" w:type="dxa"/>
        </w:tcPr>
        <w:p w14:paraId="0232B903" w14:textId="77777777" w:rsidR="00B11AB6" w:rsidRPr="009B0518" w:rsidRDefault="00B11AB6" w:rsidP="00697734">
          <w:pPr>
            <w:pStyle w:val="Piedepgina"/>
            <w:rPr>
              <w:rFonts w:ascii="Arial Narrow" w:hAnsi="Arial Narrow" w:cs="Helvetica"/>
              <w:sz w:val="20"/>
              <w:szCs w:val="20"/>
              <w:lang w:val="es-ES" w:eastAsia="en-US"/>
            </w:rPr>
          </w:pPr>
          <w:r w:rsidRPr="009B0518">
            <w:rPr>
              <w:rFonts w:ascii="Arial Narrow" w:hAnsi="Arial Narrow" w:cs="Helvetica"/>
              <w:noProof/>
              <w:sz w:val="20"/>
              <w:szCs w:val="20"/>
              <w:lang w:val="es-ES" w:eastAsia="en-US"/>
            </w:rPr>
            <w:t>Centro Administrativo Municipal de Palmira – CAMP</w:t>
          </w:r>
        </w:p>
        <w:p w14:paraId="6EF05F3C" w14:textId="77777777" w:rsidR="00B11AB6" w:rsidRPr="009B0518" w:rsidRDefault="00B11AB6" w:rsidP="00697734">
          <w:pPr>
            <w:autoSpaceDE w:val="0"/>
            <w:autoSpaceDN w:val="0"/>
            <w:adjustRightInd w:val="0"/>
            <w:spacing w:line="276" w:lineRule="auto"/>
            <w:rPr>
              <w:rFonts w:ascii="Arial Narrow" w:hAnsi="Arial Narrow" w:cs="Helvetica"/>
              <w:sz w:val="20"/>
              <w:szCs w:val="20"/>
              <w:lang w:val="es-ES" w:eastAsia="en-US"/>
            </w:rPr>
          </w:pPr>
          <w:r w:rsidRPr="009B0518">
            <w:rPr>
              <w:rFonts w:ascii="Arial Narrow" w:hAnsi="Arial Narrow" w:cs="Helvetica"/>
              <w:noProof/>
              <w:sz w:val="20"/>
              <w:szCs w:val="20"/>
              <w:lang w:val="es-ES" w:eastAsia="en-US"/>
            </w:rPr>
            <w:t>Calle 30 No. 29 -39: Código Postal 763533</w:t>
          </w:r>
        </w:p>
        <w:p w14:paraId="16827504" w14:textId="77777777" w:rsidR="00B11AB6" w:rsidRPr="009B0518" w:rsidRDefault="0098088D" w:rsidP="00697734">
          <w:pPr>
            <w:autoSpaceDE w:val="0"/>
            <w:autoSpaceDN w:val="0"/>
            <w:adjustRightInd w:val="0"/>
            <w:spacing w:line="276" w:lineRule="auto"/>
            <w:rPr>
              <w:rFonts w:ascii="Arial Narrow" w:hAnsi="Arial Narrow" w:cs="Helvetica"/>
              <w:sz w:val="20"/>
              <w:szCs w:val="20"/>
              <w:lang w:val="es-ES" w:eastAsia="en-US"/>
            </w:rPr>
          </w:pPr>
          <w:hyperlink r:id="rId1" w:history="1">
            <w:r w:rsidR="00B11AB6" w:rsidRPr="009B0518">
              <w:rPr>
                <w:rStyle w:val="Hipervnculo"/>
                <w:rFonts w:ascii="Arial Narrow" w:hAnsi="Arial Narrow" w:cs="Helvetica"/>
                <w:sz w:val="20"/>
                <w:szCs w:val="20"/>
                <w:lang w:val="es-ES" w:eastAsia="en-US"/>
              </w:rPr>
              <w:t>www.palmira.gov.co</w:t>
            </w:r>
          </w:hyperlink>
        </w:p>
        <w:p w14:paraId="25CFDA5E" w14:textId="77777777" w:rsidR="00B11AB6" w:rsidRPr="003F4DED" w:rsidRDefault="00B11AB6" w:rsidP="00697734">
          <w:pPr>
            <w:pStyle w:val="Piedepgina"/>
            <w:rPr>
              <w:rFonts w:ascii="Arial Narrow" w:hAnsi="Arial Narrow" w:cs="Helvetica"/>
              <w:noProof/>
              <w:sz w:val="20"/>
              <w:szCs w:val="20"/>
              <w:lang w:val="es-ES" w:eastAsia="en-US"/>
            </w:rPr>
          </w:pPr>
          <w:r w:rsidRPr="009B0518">
            <w:rPr>
              <w:rFonts w:ascii="Arial Narrow" w:hAnsi="Arial Narrow" w:cs="Helvetica"/>
              <w:noProof/>
              <w:sz w:val="20"/>
              <w:szCs w:val="20"/>
              <w:lang w:val="es-ES" w:eastAsia="en-US"/>
            </w:rPr>
            <w:t>Teléfono:  2856121</w:t>
          </w:r>
        </w:p>
      </w:tc>
      <w:tc>
        <w:tcPr>
          <w:tcW w:w="1701" w:type="dxa"/>
          <w:vAlign w:val="bottom"/>
        </w:tcPr>
        <w:p w14:paraId="31F91FAA" w14:textId="77777777" w:rsidR="00B11AB6" w:rsidRDefault="00B11AB6" w:rsidP="00697734">
          <w:pPr>
            <w:pStyle w:val="Piedepgina"/>
            <w:jc w:val="center"/>
            <w:rPr>
              <w:rFonts w:ascii="Arial Narrow" w:hAnsi="Arial Narrow"/>
              <w:noProof/>
              <w:sz w:val="20"/>
              <w:szCs w:val="20"/>
            </w:rPr>
          </w:pPr>
          <w:r w:rsidRPr="009B0518">
            <w:rPr>
              <w:rFonts w:ascii="Arial Narrow" w:hAnsi="Arial Narrow"/>
              <w:sz w:val="20"/>
              <w:szCs w:val="20"/>
              <w:lang w:val="es-ES"/>
            </w:rPr>
            <w:t xml:space="preserve">Página </w:t>
          </w:r>
          <w:r w:rsidRPr="009B0518">
            <w:rPr>
              <w:rFonts w:ascii="Arial Narrow" w:hAnsi="Arial Narrow"/>
              <w:b/>
              <w:bCs/>
              <w:sz w:val="20"/>
              <w:szCs w:val="20"/>
            </w:rPr>
            <w:fldChar w:fldCharType="begin"/>
          </w:r>
          <w:r w:rsidRPr="009B0518">
            <w:rPr>
              <w:rFonts w:ascii="Arial Narrow" w:hAnsi="Arial Narrow"/>
              <w:b/>
              <w:bCs/>
              <w:sz w:val="20"/>
              <w:szCs w:val="20"/>
            </w:rPr>
            <w:instrText>PAGE</w:instrText>
          </w:r>
          <w:r w:rsidRPr="009B0518">
            <w:rPr>
              <w:rFonts w:ascii="Arial Narrow" w:hAnsi="Arial Narrow"/>
              <w:b/>
              <w:bCs/>
              <w:sz w:val="20"/>
              <w:szCs w:val="20"/>
            </w:rPr>
            <w:fldChar w:fldCharType="separate"/>
          </w:r>
          <w:r w:rsidR="00392443">
            <w:rPr>
              <w:rFonts w:ascii="Arial Narrow" w:hAnsi="Arial Narrow"/>
              <w:b/>
              <w:bCs/>
              <w:noProof/>
              <w:sz w:val="20"/>
              <w:szCs w:val="20"/>
            </w:rPr>
            <w:t>2</w:t>
          </w:r>
          <w:r w:rsidRPr="009B0518">
            <w:rPr>
              <w:rFonts w:ascii="Arial Narrow" w:hAnsi="Arial Narrow"/>
              <w:b/>
              <w:bCs/>
              <w:sz w:val="20"/>
              <w:szCs w:val="20"/>
            </w:rPr>
            <w:fldChar w:fldCharType="end"/>
          </w:r>
          <w:r w:rsidRPr="009B0518">
            <w:rPr>
              <w:rFonts w:ascii="Arial Narrow" w:hAnsi="Arial Narrow"/>
              <w:sz w:val="20"/>
              <w:szCs w:val="20"/>
              <w:lang w:val="es-ES"/>
            </w:rPr>
            <w:t xml:space="preserve"> de </w:t>
          </w:r>
          <w:r w:rsidRPr="009B0518">
            <w:rPr>
              <w:rFonts w:ascii="Arial Narrow" w:hAnsi="Arial Narrow"/>
              <w:b/>
              <w:bCs/>
              <w:sz w:val="20"/>
              <w:szCs w:val="20"/>
            </w:rPr>
            <w:fldChar w:fldCharType="begin"/>
          </w:r>
          <w:r w:rsidRPr="009B0518">
            <w:rPr>
              <w:rFonts w:ascii="Arial Narrow" w:hAnsi="Arial Narrow"/>
              <w:b/>
              <w:bCs/>
              <w:sz w:val="20"/>
              <w:szCs w:val="20"/>
            </w:rPr>
            <w:instrText>NUMPAGES</w:instrText>
          </w:r>
          <w:r w:rsidRPr="009B0518">
            <w:rPr>
              <w:rFonts w:ascii="Arial Narrow" w:hAnsi="Arial Narrow"/>
              <w:b/>
              <w:bCs/>
              <w:sz w:val="20"/>
              <w:szCs w:val="20"/>
            </w:rPr>
            <w:fldChar w:fldCharType="separate"/>
          </w:r>
          <w:r w:rsidR="00392443">
            <w:rPr>
              <w:rFonts w:ascii="Arial Narrow" w:hAnsi="Arial Narrow"/>
              <w:b/>
              <w:bCs/>
              <w:noProof/>
              <w:sz w:val="20"/>
              <w:szCs w:val="20"/>
            </w:rPr>
            <w:t>5</w:t>
          </w:r>
          <w:r w:rsidRPr="009B0518">
            <w:rPr>
              <w:rFonts w:ascii="Arial Narrow" w:hAnsi="Arial Narrow"/>
              <w:b/>
              <w:bCs/>
              <w:sz w:val="20"/>
              <w:szCs w:val="20"/>
            </w:rPr>
            <w:fldChar w:fldCharType="end"/>
          </w:r>
        </w:p>
      </w:tc>
      <w:tc>
        <w:tcPr>
          <w:tcW w:w="3402" w:type="dxa"/>
        </w:tcPr>
        <w:p w14:paraId="3D409C97" w14:textId="77777777" w:rsidR="00B11AB6" w:rsidRDefault="00B11AB6" w:rsidP="00697734">
          <w:pPr>
            <w:pStyle w:val="Piedepgina"/>
          </w:pPr>
          <w:r>
            <w:rPr>
              <w:rFonts w:ascii="Arial Narrow" w:hAnsi="Arial Narrow"/>
              <w:noProof/>
              <w:sz w:val="20"/>
              <w:szCs w:val="20"/>
            </w:rPr>
            <w:drawing>
              <wp:anchor distT="0" distB="0" distL="114300" distR="114300" simplePos="0" relativeHeight="251663360" behindDoc="0" locked="0" layoutInCell="1" allowOverlap="1" wp14:anchorId="21700610" wp14:editId="61A546FD">
                <wp:simplePos x="0" y="0"/>
                <wp:positionH relativeFrom="column">
                  <wp:posOffset>966470</wp:posOffset>
                </wp:positionH>
                <wp:positionV relativeFrom="paragraph">
                  <wp:posOffset>55880</wp:posOffset>
                </wp:positionV>
                <wp:extent cx="963064" cy="632460"/>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
                          <a:extLst>
                            <a:ext uri="{28A0092B-C50C-407E-A947-70E740481C1C}">
                              <a14:useLocalDpi xmlns:a14="http://schemas.microsoft.com/office/drawing/2010/main" val="0"/>
                            </a:ext>
                          </a:extLst>
                        </a:blip>
                        <a:stretch>
                          <a:fillRect/>
                        </a:stretch>
                      </pic:blipFill>
                      <pic:spPr>
                        <a:xfrm>
                          <a:off x="0" y="0"/>
                          <a:ext cx="963064" cy="632460"/>
                        </a:xfrm>
                        <a:prstGeom prst="rect">
                          <a:avLst/>
                        </a:prstGeom>
                      </pic:spPr>
                    </pic:pic>
                  </a:graphicData>
                </a:graphic>
                <wp14:sizeRelH relativeFrom="page">
                  <wp14:pctWidth>0</wp14:pctWidth>
                </wp14:sizeRelH>
                <wp14:sizeRelV relativeFrom="page">
                  <wp14:pctHeight>0</wp14:pctHeight>
                </wp14:sizeRelV>
              </wp:anchor>
            </w:drawing>
          </w:r>
        </w:p>
      </w:tc>
    </w:tr>
  </w:tbl>
  <w:p w14:paraId="6BE1D741" w14:textId="77777777" w:rsidR="00B11AB6" w:rsidRPr="009B0518" w:rsidRDefault="00B11AB6" w:rsidP="006977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701"/>
      <w:gridCol w:w="3402"/>
    </w:tblGrid>
    <w:tr w:rsidR="00B11AB6" w14:paraId="37EE0EA7" w14:textId="77777777" w:rsidTr="00B11AB6">
      <w:trPr>
        <w:trHeight w:val="1113"/>
      </w:trPr>
      <w:tc>
        <w:tcPr>
          <w:tcW w:w="4106" w:type="dxa"/>
        </w:tcPr>
        <w:p w14:paraId="2F07F72C" w14:textId="77777777" w:rsidR="00B11AB6" w:rsidRPr="009B0518" w:rsidRDefault="00B11AB6" w:rsidP="00697734">
          <w:pPr>
            <w:pStyle w:val="Piedepgina"/>
            <w:rPr>
              <w:rFonts w:ascii="Arial Narrow" w:hAnsi="Arial Narrow" w:cs="Helvetica"/>
              <w:sz w:val="20"/>
              <w:szCs w:val="20"/>
              <w:lang w:val="es-ES" w:eastAsia="en-US"/>
            </w:rPr>
          </w:pPr>
          <w:r w:rsidRPr="009B0518">
            <w:rPr>
              <w:rFonts w:ascii="Arial Narrow" w:hAnsi="Arial Narrow" w:cs="Helvetica"/>
              <w:noProof/>
              <w:sz w:val="20"/>
              <w:szCs w:val="20"/>
              <w:lang w:val="es-ES" w:eastAsia="en-US"/>
            </w:rPr>
            <w:t>Centro Administrativo Municipal de Palmira – CAMP</w:t>
          </w:r>
        </w:p>
        <w:p w14:paraId="5FA21EF6" w14:textId="77777777" w:rsidR="00B11AB6" w:rsidRPr="009B0518" w:rsidRDefault="00B11AB6" w:rsidP="00697734">
          <w:pPr>
            <w:autoSpaceDE w:val="0"/>
            <w:autoSpaceDN w:val="0"/>
            <w:adjustRightInd w:val="0"/>
            <w:spacing w:line="276" w:lineRule="auto"/>
            <w:rPr>
              <w:rFonts w:ascii="Arial Narrow" w:hAnsi="Arial Narrow" w:cs="Helvetica"/>
              <w:sz w:val="20"/>
              <w:szCs w:val="20"/>
              <w:lang w:val="es-ES" w:eastAsia="en-US"/>
            </w:rPr>
          </w:pPr>
          <w:r w:rsidRPr="009B0518">
            <w:rPr>
              <w:rFonts w:ascii="Arial Narrow" w:hAnsi="Arial Narrow" w:cs="Helvetica"/>
              <w:noProof/>
              <w:sz w:val="20"/>
              <w:szCs w:val="20"/>
              <w:lang w:val="es-ES" w:eastAsia="en-US"/>
            </w:rPr>
            <w:t>Calle 30 No. 29 -39: Código Postal 763533</w:t>
          </w:r>
        </w:p>
        <w:p w14:paraId="698AA43F" w14:textId="77777777" w:rsidR="00B11AB6" w:rsidRPr="009B0518" w:rsidRDefault="0098088D" w:rsidP="00697734">
          <w:pPr>
            <w:autoSpaceDE w:val="0"/>
            <w:autoSpaceDN w:val="0"/>
            <w:adjustRightInd w:val="0"/>
            <w:spacing w:line="276" w:lineRule="auto"/>
            <w:rPr>
              <w:rFonts w:ascii="Arial Narrow" w:hAnsi="Arial Narrow" w:cs="Helvetica"/>
              <w:sz w:val="20"/>
              <w:szCs w:val="20"/>
              <w:lang w:val="es-ES" w:eastAsia="en-US"/>
            </w:rPr>
          </w:pPr>
          <w:hyperlink r:id="rId1" w:history="1">
            <w:r w:rsidR="00B11AB6" w:rsidRPr="009B0518">
              <w:rPr>
                <w:rStyle w:val="Hipervnculo"/>
                <w:rFonts w:ascii="Arial Narrow" w:hAnsi="Arial Narrow" w:cs="Helvetica"/>
                <w:sz w:val="20"/>
                <w:szCs w:val="20"/>
                <w:lang w:val="es-ES" w:eastAsia="en-US"/>
              </w:rPr>
              <w:t>www.palmira.gov.co</w:t>
            </w:r>
          </w:hyperlink>
        </w:p>
        <w:p w14:paraId="06CBFFC6" w14:textId="77777777" w:rsidR="00B11AB6" w:rsidRPr="003F4DED" w:rsidRDefault="00B11AB6" w:rsidP="00697734">
          <w:pPr>
            <w:pStyle w:val="Piedepgina"/>
            <w:rPr>
              <w:rFonts w:ascii="Arial Narrow" w:hAnsi="Arial Narrow" w:cs="Helvetica"/>
              <w:noProof/>
              <w:sz w:val="20"/>
              <w:szCs w:val="20"/>
              <w:lang w:val="es-ES" w:eastAsia="en-US"/>
            </w:rPr>
          </w:pPr>
          <w:r w:rsidRPr="009B0518">
            <w:rPr>
              <w:rFonts w:ascii="Arial Narrow" w:hAnsi="Arial Narrow" w:cs="Helvetica"/>
              <w:noProof/>
              <w:sz w:val="20"/>
              <w:szCs w:val="20"/>
              <w:lang w:val="es-ES" w:eastAsia="en-US"/>
            </w:rPr>
            <w:t>Teléfono:  2856121</w:t>
          </w:r>
        </w:p>
      </w:tc>
      <w:tc>
        <w:tcPr>
          <w:tcW w:w="1701" w:type="dxa"/>
          <w:vAlign w:val="bottom"/>
        </w:tcPr>
        <w:p w14:paraId="5B1FFE35" w14:textId="77777777" w:rsidR="00B11AB6" w:rsidRDefault="00B11AB6" w:rsidP="00697734">
          <w:pPr>
            <w:pStyle w:val="Piedepgina"/>
            <w:jc w:val="center"/>
            <w:rPr>
              <w:rFonts w:ascii="Arial Narrow" w:hAnsi="Arial Narrow"/>
              <w:noProof/>
              <w:sz w:val="20"/>
              <w:szCs w:val="20"/>
            </w:rPr>
          </w:pPr>
          <w:r w:rsidRPr="009B0518">
            <w:rPr>
              <w:rFonts w:ascii="Arial Narrow" w:hAnsi="Arial Narrow"/>
              <w:sz w:val="20"/>
              <w:szCs w:val="20"/>
              <w:lang w:val="es-ES"/>
            </w:rPr>
            <w:t xml:space="preserve">Página </w:t>
          </w:r>
          <w:r w:rsidRPr="009B0518">
            <w:rPr>
              <w:rFonts w:ascii="Arial Narrow" w:hAnsi="Arial Narrow"/>
              <w:b/>
              <w:bCs/>
              <w:sz w:val="20"/>
              <w:szCs w:val="20"/>
            </w:rPr>
            <w:fldChar w:fldCharType="begin"/>
          </w:r>
          <w:r w:rsidRPr="009B0518">
            <w:rPr>
              <w:rFonts w:ascii="Arial Narrow" w:hAnsi="Arial Narrow"/>
              <w:b/>
              <w:bCs/>
              <w:sz w:val="20"/>
              <w:szCs w:val="20"/>
            </w:rPr>
            <w:instrText>PAGE</w:instrText>
          </w:r>
          <w:r w:rsidRPr="009B0518">
            <w:rPr>
              <w:rFonts w:ascii="Arial Narrow" w:hAnsi="Arial Narrow"/>
              <w:b/>
              <w:bCs/>
              <w:sz w:val="20"/>
              <w:szCs w:val="20"/>
            </w:rPr>
            <w:fldChar w:fldCharType="separate"/>
          </w:r>
          <w:r w:rsidR="00392443">
            <w:rPr>
              <w:rFonts w:ascii="Arial Narrow" w:hAnsi="Arial Narrow"/>
              <w:b/>
              <w:bCs/>
              <w:noProof/>
              <w:sz w:val="20"/>
              <w:szCs w:val="20"/>
            </w:rPr>
            <w:t>5</w:t>
          </w:r>
          <w:r w:rsidRPr="009B0518">
            <w:rPr>
              <w:rFonts w:ascii="Arial Narrow" w:hAnsi="Arial Narrow"/>
              <w:b/>
              <w:bCs/>
              <w:sz w:val="20"/>
              <w:szCs w:val="20"/>
            </w:rPr>
            <w:fldChar w:fldCharType="end"/>
          </w:r>
          <w:r w:rsidRPr="009B0518">
            <w:rPr>
              <w:rFonts w:ascii="Arial Narrow" w:hAnsi="Arial Narrow"/>
              <w:sz w:val="20"/>
              <w:szCs w:val="20"/>
              <w:lang w:val="es-ES"/>
            </w:rPr>
            <w:t xml:space="preserve"> de </w:t>
          </w:r>
          <w:r w:rsidRPr="009B0518">
            <w:rPr>
              <w:rFonts w:ascii="Arial Narrow" w:hAnsi="Arial Narrow"/>
              <w:b/>
              <w:bCs/>
              <w:sz w:val="20"/>
              <w:szCs w:val="20"/>
            </w:rPr>
            <w:fldChar w:fldCharType="begin"/>
          </w:r>
          <w:r w:rsidRPr="009B0518">
            <w:rPr>
              <w:rFonts w:ascii="Arial Narrow" w:hAnsi="Arial Narrow"/>
              <w:b/>
              <w:bCs/>
              <w:sz w:val="20"/>
              <w:szCs w:val="20"/>
            </w:rPr>
            <w:instrText>NUMPAGES</w:instrText>
          </w:r>
          <w:r w:rsidRPr="009B0518">
            <w:rPr>
              <w:rFonts w:ascii="Arial Narrow" w:hAnsi="Arial Narrow"/>
              <w:b/>
              <w:bCs/>
              <w:sz w:val="20"/>
              <w:szCs w:val="20"/>
            </w:rPr>
            <w:fldChar w:fldCharType="separate"/>
          </w:r>
          <w:r w:rsidR="00392443">
            <w:rPr>
              <w:rFonts w:ascii="Arial Narrow" w:hAnsi="Arial Narrow"/>
              <w:b/>
              <w:bCs/>
              <w:noProof/>
              <w:sz w:val="20"/>
              <w:szCs w:val="20"/>
            </w:rPr>
            <w:t>5</w:t>
          </w:r>
          <w:r w:rsidRPr="009B0518">
            <w:rPr>
              <w:rFonts w:ascii="Arial Narrow" w:hAnsi="Arial Narrow"/>
              <w:b/>
              <w:bCs/>
              <w:sz w:val="20"/>
              <w:szCs w:val="20"/>
            </w:rPr>
            <w:fldChar w:fldCharType="end"/>
          </w:r>
        </w:p>
      </w:tc>
      <w:tc>
        <w:tcPr>
          <w:tcW w:w="3402" w:type="dxa"/>
        </w:tcPr>
        <w:p w14:paraId="756828B1" w14:textId="77777777" w:rsidR="00B11AB6" w:rsidRDefault="00B11AB6" w:rsidP="00697734">
          <w:pPr>
            <w:pStyle w:val="Piedepgina"/>
          </w:pPr>
          <w:r>
            <w:rPr>
              <w:rFonts w:ascii="Arial Narrow" w:hAnsi="Arial Narrow"/>
              <w:noProof/>
              <w:sz w:val="20"/>
              <w:szCs w:val="20"/>
            </w:rPr>
            <w:drawing>
              <wp:anchor distT="0" distB="0" distL="114300" distR="114300" simplePos="0" relativeHeight="251660288" behindDoc="0" locked="0" layoutInCell="1" allowOverlap="1" wp14:anchorId="0AE62F3D" wp14:editId="3BAEEAA3">
                <wp:simplePos x="0" y="0"/>
                <wp:positionH relativeFrom="column">
                  <wp:posOffset>966470</wp:posOffset>
                </wp:positionH>
                <wp:positionV relativeFrom="paragraph">
                  <wp:posOffset>55880</wp:posOffset>
                </wp:positionV>
                <wp:extent cx="963064" cy="63246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
                          <a:extLst>
                            <a:ext uri="{28A0092B-C50C-407E-A947-70E740481C1C}">
                              <a14:useLocalDpi xmlns:a14="http://schemas.microsoft.com/office/drawing/2010/main" val="0"/>
                            </a:ext>
                          </a:extLst>
                        </a:blip>
                        <a:stretch>
                          <a:fillRect/>
                        </a:stretch>
                      </pic:blipFill>
                      <pic:spPr>
                        <a:xfrm>
                          <a:off x="0" y="0"/>
                          <a:ext cx="963064" cy="632460"/>
                        </a:xfrm>
                        <a:prstGeom prst="rect">
                          <a:avLst/>
                        </a:prstGeom>
                      </pic:spPr>
                    </pic:pic>
                  </a:graphicData>
                </a:graphic>
                <wp14:sizeRelH relativeFrom="page">
                  <wp14:pctWidth>0</wp14:pctWidth>
                </wp14:sizeRelH>
                <wp14:sizeRelV relativeFrom="page">
                  <wp14:pctHeight>0</wp14:pctHeight>
                </wp14:sizeRelV>
              </wp:anchor>
            </w:drawing>
          </w:r>
        </w:p>
      </w:tc>
    </w:tr>
  </w:tbl>
  <w:p w14:paraId="42B4FC5A" w14:textId="77777777" w:rsidR="00B11AB6" w:rsidRPr="009B0518" w:rsidRDefault="00B11AB6" w:rsidP="006977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9E1E8" w14:textId="77777777" w:rsidR="0098088D" w:rsidRDefault="0098088D" w:rsidP="009B0518">
      <w:r>
        <w:separator/>
      </w:r>
    </w:p>
  </w:footnote>
  <w:footnote w:type="continuationSeparator" w:id="0">
    <w:p w14:paraId="374FF4C0" w14:textId="77777777" w:rsidR="0098088D" w:rsidRDefault="0098088D" w:rsidP="009B0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044"/>
    </w:tblGrid>
    <w:tr w:rsidR="00B11AB6" w14:paraId="01E2D917" w14:textId="77777777" w:rsidTr="009B0518">
      <w:trPr>
        <w:trHeight w:val="2085"/>
      </w:trPr>
      <w:tc>
        <w:tcPr>
          <w:tcW w:w="4626" w:type="dxa"/>
        </w:tcPr>
        <w:p w14:paraId="4EEF8E57" w14:textId="77777777" w:rsidR="00B11AB6" w:rsidRDefault="00B11AB6" w:rsidP="009B0518">
          <w:pPr>
            <w:pStyle w:val="Encabezado"/>
          </w:pPr>
          <w:r>
            <w:rPr>
              <w:rFonts w:ascii="Arial Narrow" w:hAnsi="Arial Narrow"/>
              <w:b/>
              <w:noProof/>
              <w:sz w:val="16"/>
              <w:szCs w:val="16"/>
            </w:rPr>
            <w:drawing>
              <wp:anchor distT="0" distB="0" distL="114300" distR="114300" simplePos="0" relativeHeight="251662336" behindDoc="0" locked="0" layoutInCell="1" allowOverlap="1" wp14:anchorId="4AB20BF4" wp14:editId="0840372D">
                <wp:simplePos x="0" y="0"/>
                <wp:positionH relativeFrom="column">
                  <wp:posOffset>306070</wp:posOffset>
                </wp:positionH>
                <wp:positionV relativeFrom="paragraph">
                  <wp:posOffset>108585</wp:posOffset>
                </wp:positionV>
                <wp:extent cx="1034415" cy="1078818"/>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52621" t="9727" r="8552" b="11575"/>
                        <a:stretch/>
                      </pic:blipFill>
                      <pic:spPr bwMode="auto">
                        <a:xfrm>
                          <a:off x="0" y="0"/>
                          <a:ext cx="1034415" cy="10788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44" w:type="dxa"/>
        </w:tcPr>
        <w:p w14:paraId="573479E5" w14:textId="77777777" w:rsidR="00B11AB6" w:rsidRDefault="00B11AB6" w:rsidP="009B0518">
          <w:pPr>
            <w:pStyle w:val="Encabezado"/>
            <w:tabs>
              <w:tab w:val="clear" w:pos="4419"/>
              <w:tab w:val="center" w:pos="3353"/>
            </w:tabs>
            <w:ind w:right="-108"/>
            <w:jc w:val="right"/>
            <w:rPr>
              <w:rFonts w:ascii="Arial Narrow" w:hAnsi="Arial Narrow"/>
              <w:szCs w:val="28"/>
            </w:rPr>
          </w:pPr>
          <w:r>
            <w:rPr>
              <w:rFonts w:ascii="Arial Narrow" w:hAnsi="Arial Narrow"/>
              <w:szCs w:val="28"/>
            </w:rPr>
            <w:t xml:space="preserve">            </w:t>
          </w:r>
        </w:p>
        <w:p w14:paraId="13351B50" w14:textId="77777777" w:rsidR="00B11AB6" w:rsidRPr="004A2045" w:rsidRDefault="00B11AB6" w:rsidP="009B0518">
          <w:pPr>
            <w:pStyle w:val="Encabezado"/>
            <w:tabs>
              <w:tab w:val="clear" w:pos="4419"/>
              <w:tab w:val="center" w:pos="3861"/>
            </w:tabs>
            <w:jc w:val="right"/>
            <w:rPr>
              <w:rFonts w:ascii="Arial Narrow" w:hAnsi="Arial Narrow"/>
            </w:rPr>
          </w:pPr>
          <w:r>
            <w:rPr>
              <w:rFonts w:ascii="Arial Narrow" w:hAnsi="Arial Narrow"/>
              <w:szCs w:val="28"/>
            </w:rPr>
            <w:t xml:space="preserve">  </w:t>
          </w:r>
          <w:r w:rsidRPr="004A2045">
            <w:rPr>
              <w:rFonts w:ascii="Arial Narrow" w:hAnsi="Arial Narrow"/>
            </w:rPr>
            <w:t>República de Colombia                                                     Departamento del Valle del Cauca</w:t>
          </w:r>
        </w:p>
        <w:p w14:paraId="77658CB9" w14:textId="77777777" w:rsidR="00B11AB6" w:rsidRDefault="00B11AB6" w:rsidP="009B0518">
          <w:pPr>
            <w:pStyle w:val="Encabezado"/>
            <w:tabs>
              <w:tab w:val="clear" w:pos="4419"/>
              <w:tab w:val="center" w:pos="3353"/>
            </w:tabs>
            <w:jc w:val="right"/>
            <w:rPr>
              <w:rFonts w:ascii="Arial Narrow" w:hAnsi="Arial Narrow"/>
            </w:rPr>
          </w:pPr>
          <w:r w:rsidRPr="004A2045">
            <w:rPr>
              <w:rFonts w:ascii="Arial Narrow" w:hAnsi="Arial Narrow"/>
            </w:rPr>
            <w:t xml:space="preserve">      Alcaldía Municipal de Palmira</w:t>
          </w:r>
        </w:p>
        <w:p w14:paraId="0DD48C0C" w14:textId="77777777" w:rsidR="00B11AB6" w:rsidRDefault="00B11AB6" w:rsidP="009B0518">
          <w:pPr>
            <w:pStyle w:val="Encabezado"/>
            <w:jc w:val="right"/>
            <w:rPr>
              <w:rFonts w:ascii="Arial Narrow" w:hAnsi="Arial Narrow"/>
              <w:b/>
              <w:bCs/>
            </w:rPr>
          </w:pPr>
          <w:r w:rsidRPr="005346BB">
            <w:rPr>
              <w:rFonts w:ascii="Arial Narrow" w:hAnsi="Arial Narrow"/>
              <w:b/>
              <w:bCs/>
              <w:noProof/>
            </w:rPr>
            <w:t>DESPACHO ALCALDE</w:t>
          </w:r>
        </w:p>
        <w:p w14:paraId="2E0D5F22" w14:textId="77777777" w:rsidR="00B11AB6" w:rsidRPr="004A2045" w:rsidRDefault="00B11AB6" w:rsidP="009B0518">
          <w:pPr>
            <w:pStyle w:val="Encabezado"/>
            <w:jc w:val="right"/>
            <w:rPr>
              <w:rFonts w:ascii="Arial Narrow" w:hAnsi="Arial Narrow"/>
              <w:b/>
            </w:rPr>
          </w:pPr>
          <w:r w:rsidRPr="004A2045">
            <w:rPr>
              <w:rFonts w:ascii="Arial Narrow" w:hAnsi="Arial Narrow"/>
              <w:b/>
            </w:rPr>
            <w:t xml:space="preserve"> </w:t>
          </w:r>
        </w:p>
        <w:p w14:paraId="52076CB9" w14:textId="2C69A239" w:rsidR="00B11AB6" w:rsidRDefault="00B11AB6" w:rsidP="009B0518">
          <w:pPr>
            <w:pStyle w:val="Encabezado"/>
            <w:tabs>
              <w:tab w:val="clear" w:pos="4419"/>
              <w:tab w:val="center" w:pos="4428"/>
            </w:tabs>
            <w:jc w:val="right"/>
          </w:pPr>
          <w:r>
            <w:rPr>
              <w:rFonts w:ascii="Arial Narrow" w:hAnsi="Arial Narrow"/>
              <w:b/>
            </w:rPr>
            <w:t>DECRETO</w:t>
          </w:r>
        </w:p>
      </w:tc>
    </w:tr>
  </w:tbl>
  <w:p w14:paraId="76AEFFB3" w14:textId="77777777" w:rsidR="00B11AB6" w:rsidRPr="005F5E8B" w:rsidRDefault="00B11AB6" w:rsidP="009B0518">
    <w:pPr>
      <w:pStyle w:val="Encabezado"/>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044"/>
    </w:tblGrid>
    <w:tr w:rsidR="00B11AB6" w14:paraId="30A05E91" w14:textId="77777777" w:rsidTr="009B0518">
      <w:trPr>
        <w:trHeight w:val="2085"/>
      </w:trPr>
      <w:tc>
        <w:tcPr>
          <w:tcW w:w="4626" w:type="dxa"/>
        </w:tcPr>
        <w:p w14:paraId="288CFE13" w14:textId="77777777" w:rsidR="00B11AB6" w:rsidRDefault="00B11AB6" w:rsidP="009B0518">
          <w:pPr>
            <w:pStyle w:val="Encabezado"/>
          </w:pPr>
          <w:r>
            <w:rPr>
              <w:rFonts w:ascii="Arial Narrow" w:hAnsi="Arial Narrow"/>
              <w:b/>
              <w:noProof/>
              <w:sz w:val="16"/>
              <w:szCs w:val="16"/>
            </w:rPr>
            <w:drawing>
              <wp:anchor distT="0" distB="0" distL="114300" distR="114300" simplePos="0" relativeHeight="251659264" behindDoc="0" locked="0" layoutInCell="1" allowOverlap="1" wp14:anchorId="1CA13413" wp14:editId="6F578069">
                <wp:simplePos x="0" y="0"/>
                <wp:positionH relativeFrom="column">
                  <wp:posOffset>-6349</wp:posOffset>
                </wp:positionH>
                <wp:positionV relativeFrom="paragraph">
                  <wp:posOffset>76201</wp:posOffset>
                </wp:positionV>
                <wp:extent cx="2667000" cy="137229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73750" cy="1375767"/>
                        </a:xfrm>
                        <a:prstGeom prst="rect">
                          <a:avLst/>
                        </a:prstGeom>
                      </pic:spPr>
                    </pic:pic>
                  </a:graphicData>
                </a:graphic>
                <wp14:sizeRelH relativeFrom="margin">
                  <wp14:pctWidth>0</wp14:pctWidth>
                </wp14:sizeRelH>
                <wp14:sizeRelV relativeFrom="margin">
                  <wp14:pctHeight>0</wp14:pctHeight>
                </wp14:sizeRelV>
              </wp:anchor>
            </w:drawing>
          </w:r>
        </w:p>
      </w:tc>
      <w:tc>
        <w:tcPr>
          <w:tcW w:w="5044" w:type="dxa"/>
        </w:tcPr>
        <w:p w14:paraId="43FBEEED" w14:textId="77777777" w:rsidR="00B11AB6" w:rsidRDefault="00B11AB6" w:rsidP="009B0518">
          <w:pPr>
            <w:pStyle w:val="Encabezado"/>
            <w:tabs>
              <w:tab w:val="clear" w:pos="4419"/>
              <w:tab w:val="center" w:pos="3353"/>
            </w:tabs>
            <w:ind w:right="-108"/>
            <w:jc w:val="right"/>
            <w:rPr>
              <w:rFonts w:ascii="Arial Narrow" w:hAnsi="Arial Narrow"/>
              <w:szCs w:val="28"/>
            </w:rPr>
          </w:pPr>
          <w:r>
            <w:rPr>
              <w:rFonts w:ascii="Arial Narrow" w:hAnsi="Arial Narrow"/>
              <w:szCs w:val="28"/>
            </w:rPr>
            <w:t xml:space="preserve">            </w:t>
          </w:r>
        </w:p>
        <w:p w14:paraId="3309D3A3" w14:textId="77777777" w:rsidR="00B11AB6" w:rsidRPr="004A2045" w:rsidRDefault="00B11AB6" w:rsidP="009B0518">
          <w:pPr>
            <w:pStyle w:val="Encabezado"/>
            <w:tabs>
              <w:tab w:val="clear" w:pos="4419"/>
              <w:tab w:val="center" w:pos="3861"/>
            </w:tabs>
            <w:jc w:val="right"/>
            <w:rPr>
              <w:rFonts w:ascii="Arial Narrow" w:hAnsi="Arial Narrow"/>
            </w:rPr>
          </w:pPr>
          <w:r>
            <w:rPr>
              <w:rFonts w:ascii="Arial Narrow" w:hAnsi="Arial Narrow"/>
              <w:szCs w:val="28"/>
            </w:rPr>
            <w:t xml:space="preserve">  </w:t>
          </w:r>
          <w:r w:rsidRPr="004A2045">
            <w:rPr>
              <w:rFonts w:ascii="Arial Narrow" w:hAnsi="Arial Narrow"/>
            </w:rPr>
            <w:t>República de Colombia                                                     Departamento del Valle del Cauca</w:t>
          </w:r>
        </w:p>
        <w:p w14:paraId="1B08F061" w14:textId="77777777" w:rsidR="00B11AB6" w:rsidRDefault="00B11AB6" w:rsidP="009B0518">
          <w:pPr>
            <w:pStyle w:val="Encabezado"/>
            <w:tabs>
              <w:tab w:val="clear" w:pos="4419"/>
              <w:tab w:val="center" w:pos="3353"/>
            </w:tabs>
            <w:jc w:val="right"/>
            <w:rPr>
              <w:rFonts w:ascii="Arial Narrow" w:hAnsi="Arial Narrow"/>
            </w:rPr>
          </w:pPr>
          <w:r w:rsidRPr="004A2045">
            <w:rPr>
              <w:rFonts w:ascii="Arial Narrow" w:hAnsi="Arial Narrow"/>
            </w:rPr>
            <w:t xml:space="preserve">      Alcaldía Municipal de Palmira</w:t>
          </w:r>
        </w:p>
        <w:p w14:paraId="40FA7CC0" w14:textId="77777777" w:rsidR="00B11AB6" w:rsidRDefault="00B11AB6" w:rsidP="009B0518">
          <w:pPr>
            <w:pStyle w:val="Encabezado"/>
            <w:jc w:val="right"/>
            <w:rPr>
              <w:rFonts w:ascii="Arial Narrow" w:hAnsi="Arial Narrow"/>
              <w:b/>
              <w:bCs/>
            </w:rPr>
          </w:pPr>
          <w:r w:rsidRPr="005346BB">
            <w:rPr>
              <w:rFonts w:ascii="Arial Narrow" w:hAnsi="Arial Narrow"/>
              <w:b/>
              <w:bCs/>
              <w:noProof/>
            </w:rPr>
            <w:t>DESPACHO ALCALDE</w:t>
          </w:r>
        </w:p>
        <w:p w14:paraId="64909E7A" w14:textId="77777777" w:rsidR="00B11AB6" w:rsidRPr="004A2045" w:rsidRDefault="00B11AB6" w:rsidP="009B0518">
          <w:pPr>
            <w:pStyle w:val="Encabezado"/>
            <w:jc w:val="right"/>
            <w:rPr>
              <w:rFonts w:ascii="Arial Narrow" w:hAnsi="Arial Narrow"/>
              <w:b/>
            </w:rPr>
          </w:pPr>
          <w:r w:rsidRPr="004A2045">
            <w:rPr>
              <w:rFonts w:ascii="Arial Narrow" w:hAnsi="Arial Narrow"/>
              <w:b/>
            </w:rPr>
            <w:t xml:space="preserve"> </w:t>
          </w:r>
        </w:p>
        <w:p w14:paraId="1B1C8829" w14:textId="77777777" w:rsidR="00B11AB6" w:rsidRDefault="00B11AB6" w:rsidP="009B0518">
          <w:pPr>
            <w:pStyle w:val="Encabezado"/>
            <w:tabs>
              <w:tab w:val="clear" w:pos="4419"/>
              <w:tab w:val="center" w:pos="4428"/>
            </w:tabs>
            <w:jc w:val="right"/>
          </w:pPr>
          <w:r>
            <w:rPr>
              <w:rFonts w:ascii="Arial Narrow" w:hAnsi="Arial Narrow"/>
              <w:b/>
            </w:rPr>
            <w:t>OFICIO</w:t>
          </w:r>
          <w:r w:rsidRPr="004A2045">
            <w:rPr>
              <w:rFonts w:ascii="Arial Narrow" w:hAnsi="Arial Narrow"/>
              <w:b/>
            </w:rPr>
            <w:t xml:space="preserve">                                                                                                                </w:t>
          </w:r>
        </w:p>
      </w:tc>
    </w:tr>
  </w:tbl>
  <w:p w14:paraId="1358BA11" w14:textId="77777777" w:rsidR="00B11AB6" w:rsidRDefault="00B11AB6" w:rsidP="009B05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1DD2"/>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oRBwxBkYOPrX2T6KUjZ8zbn22FFnfo2ATkbwmP3ivz7KBdDg5Dc8sge6K4nvkCPGP2c8AfLHYxvLIrRXxWqtdA==" w:salt="Ud6/n+/FHsGCF+G0rb0C9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18"/>
    <w:rsid w:val="00023F71"/>
    <w:rsid w:val="00034066"/>
    <w:rsid w:val="00050C4A"/>
    <w:rsid w:val="0006427F"/>
    <w:rsid w:val="00064D4F"/>
    <w:rsid w:val="000C4382"/>
    <w:rsid w:val="000D32A3"/>
    <w:rsid w:val="001A6BC0"/>
    <w:rsid w:val="001B5717"/>
    <w:rsid w:val="0026072A"/>
    <w:rsid w:val="00296BD3"/>
    <w:rsid w:val="002A6B25"/>
    <w:rsid w:val="002D7669"/>
    <w:rsid w:val="00333517"/>
    <w:rsid w:val="0034025E"/>
    <w:rsid w:val="003462BE"/>
    <w:rsid w:val="00372D8D"/>
    <w:rsid w:val="00392443"/>
    <w:rsid w:val="0039544B"/>
    <w:rsid w:val="00433682"/>
    <w:rsid w:val="00460191"/>
    <w:rsid w:val="004615E0"/>
    <w:rsid w:val="004A27EE"/>
    <w:rsid w:val="004C2BC4"/>
    <w:rsid w:val="004D7029"/>
    <w:rsid w:val="004E1CF7"/>
    <w:rsid w:val="00556257"/>
    <w:rsid w:val="00562298"/>
    <w:rsid w:val="00562F32"/>
    <w:rsid w:val="00570B38"/>
    <w:rsid w:val="00585D5D"/>
    <w:rsid w:val="005D29B9"/>
    <w:rsid w:val="005E0DAF"/>
    <w:rsid w:val="005E32DA"/>
    <w:rsid w:val="005F38F9"/>
    <w:rsid w:val="005F5E8B"/>
    <w:rsid w:val="00636D60"/>
    <w:rsid w:val="00641CD8"/>
    <w:rsid w:val="00697734"/>
    <w:rsid w:val="006B508A"/>
    <w:rsid w:val="006B5FA6"/>
    <w:rsid w:val="006E681D"/>
    <w:rsid w:val="00704DD7"/>
    <w:rsid w:val="00732838"/>
    <w:rsid w:val="007748A4"/>
    <w:rsid w:val="00784242"/>
    <w:rsid w:val="007935DE"/>
    <w:rsid w:val="007939AC"/>
    <w:rsid w:val="007B7094"/>
    <w:rsid w:val="007C1A3B"/>
    <w:rsid w:val="007E169C"/>
    <w:rsid w:val="008348E2"/>
    <w:rsid w:val="00840828"/>
    <w:rsid w:val="008938B2"/>
    <w:rsid w:val="009240F3"/>
    <w:rsid w:val="00924EDE"/>
    <w:rsid w:val="0094255A"/>
    <w:rsid w:val="0098088D"/>
    <w:rsid w:val="009A4D64"/>
    <w:rsid w:val="009B0518"/>
    <w:rsid w:val="009D1A6B"/>
    <w:rsid w:val="009F379E"/>
    <w:rsid w:val="00A162D5"/>
    <w:rsid w:val="00A30BF1"/>
    <w:rsid w:val="00A31C36"/>
    <w:rsid w:val="00A73279"/>
    <w:rsid w:val="00A8285B"/>
    <w:rsid w:val="00A906CB"/>
    <w:rsid w:val="00A968AF"/>
    <w:rsid w:val="00AA12BF"/>
    <w:rsid w:val="00AA652C"/>
    <w:rsid w:val="00AD1AD7"/>
    <w:rsid w:val="00B11AB6"/>
    <w:rsid w:val="00B442D3"/>
    <w:rsid w:val="00B50EE4"/>
    <w:rsid w:val="00B84379"/>
    <w:rsid w:val="00BC29D8"/>
    <w:rsid w:val="00BC4A19"/>
    <w:rsid w:val="00BE22B0"/>
    <w:rsid w:val="00C513DF"/>
    <w:rsid w:val="00C57F92"/>
    <w:rsid w:val="00C73067"/>
    <w:rsid w:val="00C924DC"/>
    <w:rsid w:val="00CE54EF"/>
    <w:rsid w:val="00CF54CB"/>
    <w:rsid w:val="00CF610B"/>
    <w:rsid w:val="00D04BA4"/>
    <w:rsid w:val="00D21E96"/>
    <w:rsid w:val="00D44C60"/>
    <w:rsid w:val="00D55B01"/>
    <w:rsid w:val="00DC25C4"/>
    <w:rsid w:val="00E43396"/>
    <w:rsid w:val="00E56A0A"/>
    <w:rsid w:val="00E87394"/>
    <w:rsid w:val="00E93D76"/>
    <w:rsid w:val="00EF2CF2"/>
    <w:rsid w:val="00EF7AF1"/>
    <w:rsid w:val="00F439F8"/>
    <w:rsid w:val="00F5109C"/>
    <w:rsid w:val="00FB0D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18"/>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518"/>
    <w:pPr>
      <w:tabs>
        <w:tab w:val="center" w:pos="4419"/>
        <w:tab w:val="right" w:pos="8838"/>
      </w:tabs>
    </w:pPr>
  </w:style>
  <w:style w:type="character" w:customStyle="1" w:styleId="EncabezadoCar">
    <w:name w:val="Encabezado Car"/>
    <w:basedOn w:val="Fuentedeprrafopredeter"/>
    <w:link w:val="Encabezado"/>
    <w:uiPriority w:val="99"/>
    <w:rsid w:val="009B0518"/>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9B0518"/>
    <w:pPr>
      <w:tabs>
        <w:tab w:val="center" w:pos="4419"/>
        <w:tab w:val="right" w:pos="8838"/>
      </w:tabs>
    </w:pPr>
  </w:style>
  <w:style w:type="character" w:customStyle="1" w:styleId="PiedepginaCar">
    <w:name w:val="Pie de página Car"/>
    <w:basedOn w:val="Fuentedeprrafopredeter"/>
    <w:link w:val="Piedepgina"/>
    <w:uiPriority w:val="99"/>
    <w:rsid w:val="009B051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B0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B05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18"/>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518"/>
    <w:pPr>
      <w:tabs>
        <w:tab w:val="center" w:pos="4419"/>
        <w:tab w:val="right" w:pos="8838"/>
      </w:tabs>
    </w:pPr>
  </w:style>
  <w:style w:type="character" w:customStyle="1" w:styleId="EncabezadoCar">
    <w:name w:val="Encabezado Car"/>
    <w:basedOn w:val="Fuentedeprrafopredeter"/>
    <w:link w:val="Encabezado"/>
    <w:uiPriority w:val="99"/>
    <w:rsid w:val="009B0518"/>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9B0518"/>
    <w:pPr>
      <w:tabs>
        <w:tab w:val="center" w:pos="4419"/>
        <w:tab w:val="right" w:pos="8838"/>
      </w:tabs>
    </w:pPr>
  </w:style>
  <w:style w:type="character" w:customStyle="1" w:styleId="PiedepginaCar">
    <w:name w:val="Pie de página Car"/>
    <w:basedOn w:val="Fuentedeprrafopredeter"/>
    <w:link w:val="Piedepgina"/>
    <w:uiPriority w:val="99"/>
    <w:rsid w:val="009B051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B0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B0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ntanillaunica@palmira.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palmira.gov.c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palmi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A7266-6B9E-47E0-A746-1E7BF46D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8267</Characters>
  <Application>Microsoft Office Word</Application>
  <DocSecurity>8</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Arboleda</dc:creator>
  <cp:lastModifiedBy>Galeano, Mauricio Alejandro</cp:lastModifiedBy>
  <cp:revision>2</cp:revision>
  <dcterms:created xsi:type="dcterms:W3CDTF">2025-02-22T16:19:00Z</dcterms:created>
  <dcterms:modified xsi:type="dcterms:W3CDTF">2025-02-22T16:19:00Z</dcterms:modified>
</cp:coreProperties>
</file>